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49016246"/>
      <w:bookmarkEnd w:id="0"/>
      <w:bookmarkStart w:id="1" w:name="_Hlt450039480"/>
      <w:bookmarkEnd w:id="1"/>
      <w:bookmarkStart w:id="2" w:name="_Hlt450051172"/>
      <w:bookmarkEnd w:id="2"/>
      <w:bookmarkStart w:id="3" w:name="_Hlt450066085"/>
      <w:bookmarkEnd w:id="3"/>
      <w:bookmarkStart w:id="4" w:name="_Hlt450066087"/>
      <w:bookmarkEnd w:id="4"/>
      <w:bookmarkStart w:id="5" w:name="_Hlt44893010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                                    R4-2411881</w:t>
      </w:r>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7" w:name="OLE_LINK6"/>
      <w:r>
        <w:rPr>
          <w:rFonts w:hint="eastAsia" w:ascii="Arial" w:hAnsi="Arial"/>
          <w:b/>
          <w:sz w:val="24"/>
          <w:highlight w:val="none"/>
          <w:lang w:val="en-US" w:eastAsia="zh-CN"/>
        </w:rPr>
        <w:t xml:space="preserve">Further discussion on R19 2Tx/3Tx PC2/1.5 </w:t>
      </w:r>
      <w:r>
        <w:rPr>
          <w:rFonts w:hint="eastAsia" w:ascii="Arial" w:hAnsi="Arial"/>
          <w:b/>
          <w:sz w:val="24"/>
          <w:highlight w:val="none"/>
          <w:lang w:val="en-US" w:eastAsia="ja-JP"/>
        </w:rPr>
        <w:t>Int</w:t>
      </w:r>
      <w:r>
        <w:rPr>
          <w:rFonts w:hint="eastAsia" w:ascii="Arial" w:hAnsi="Arial"/>
          <w:b/>
          <w:sz w:val="24"/>
          <w:highlight w:val="none"/>
          <w:lang w:val="en-US" w:eastAsia="zh-CN"/>
        </w:rPr>
        <w:t>er</w:t>
      </w:r>
      <w:r>
        <w:rPr>
          <w:rFonts w:hint="eastAsia" w:ascii="Arial" w:hAnsi="Arial"/>
          <w:b/>
          <w:sz w:val="24"/>
          <w:highlight w:val="none"/>
          <w:lang w:val="en-US" w:eastAsia="ja-JP"/>
        </w:rPr>
        <w:t>-band</w:t>
      </w:r>
      <w:r>
        <w:rPr>
          <w:rFonts w:hint="eastAsia" w:ascii="Arial" w:hAnsi="Arial"/>
          <w:b/>
          <w:sz w:val="24"/>
          <w:highlight w:val="none"/>
          <w:lang w:val="en-US" w:eastAsia="zh-CN"/>
        </w:rPr>
        <w:t xml:space="preserve"> NR </w:t>
      </w:r>
      <w:r>
        <w:rPr>
          <w:rFonts w:hint="eastAsia" w:ascii="Arial" w:hAnsi="Arial"/>
          <w:b/>
          <w:sz w:val="24"/>
          <w:highlight w:val="none"/>
          <w:lang w:val="en-US" w:eastAsia="zh-CN"/>
        </w:rPr>
        <w:tab/>
      </w:r>
      <w:r>
        <w:rPr>
          <w:rFonts w:hint="eastAsia" w:ascii="Arial" w:hAnsi="Arial"/>
          <w:b/>
          <w:sz w:val="24"/>
          <w:highlight w:val="none"/>
          <w:lang w:val="en-US" w:eastAsia="zh-CN"/>
        </w:rPr>
        <w:tab/>
      </w:r>
      <w:bookmarkStart w:id="15" w:name="_GoBack"/>
      <w:bookmarkEnd w:id="15"/>
      <w:r>
        <w:rPr>
          <w:rFonts w:hint="eastAsia" w:ascii="Arial" w:hAnsi="Arial"/>
          <w:b/>
          <w:sz w:val="24"/>
          <w:highlight w:val="none"/>
          <w:lang w:val="en-US" w:eastAsia="zh-CN"/>
        </w:rPr>
        <w:t>CA/</w:t>
      </w:r>
      <w:bookmarkEnd w:id="7"/>
      <w:r>
        <w:rPr>
          <w:rFonts w:hint="eastAsia" w:ascii="Arial" w:hAnsi="Arial"/>
          <w:b/>
          <w:sz w:val="24"/>
          <w:highlight w:val="none"/>
          <w:lang w:val="en-US" w:eastAsia="zh-CN"/>
        </w:rPr>
        <w:t>ENDC</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8.1.1.1.2</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topLinePunct w:val="0"/>
        <w:bidi w:val="0"/>
        <w:snapToGrid w:val="0"/>
        <w:spacing w:before="137" w:beforeLines="50" w:after="120" w:afterLines="50"/>
        <w:rPr>
          <w:rFonts w:hint="default" w:ascii="Times New Roman" w:hAnsi="Times New Roman" w:cs="Times New Roman"/>
          <w:bCs/>
          <w:kern w:val="0"/>
          <w:sz w:val="20"/>
          <w:szCs w:val="20"/>
          <w:highlight w:val="none"/>
          <w:lang w:val="en-US" w:eastAsia="zh-CN"/>
        </w:rPr>
      </w:pPr>
      <w:bookmarkStart w:id="8" w:name="OLE_LINK25"/>
      <w:r>
        <w:rPr>
          <w:rFonts w:hint="eastAsia" w:cs="Times New Roman"/>
          <w:sz w:val="20"/>
          <w:szCs w:val="20"/>
          <w:lang w:val="en-US" w:eastAsia="zh-CN"/>
        </w:rPr>
        <w:t xml:space="preserve">In last meeting, some agreements/open issues are included in the WF[1]. </w:t>
      </w:r>
      <w:r>
        <w:rPr>
          <w:rFonts w:hint="default" w:ascii="Times New Roman" w:hAnsi="Times New Roman" w:cs="Times New Roman"/>
          <w:sz w:val="20"/>
          <w:szCs w:val="20"/>
          <w:lang w:val="en-US" w:eastAsia="zh-CN"/>
        </w:rPr>
        <w:t xml:space="preserve">In this contribution, </w:t>
      </w:r>
      <w:bookmarkStart w:id="9" w:name="OLE_LINK15"/>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discussions</w:t>
      </w:r>
      <w:bookmarkStart w:id="10" w:name="OLE_LINK37"/>
      <w:r>
        <w:rPr>
          <w:rFonts w:hint="default" w:ascii="Times New Roman" w:hAnsi="Times New Roman" w:cs="Times New Roman"/>
          <w:sz w:val="20"/>
          <w:szCs w:val="20"/>
          <w:lang w:val="en-US" w:eastAsia="zh-CN"/>
        </w:rPr>
        <w:t xml:space="preserve"> o</w:t>
      </w:r>
      <w:bookmarkEnd w:id="10"/>
      <w:r>
        <w:rPr>
          <w:rFonts w:hint="eastAsia" w:ascii="Times New Roman" w:hAnsi="Times New Roman" w:cs="Times New Roman"/>
          <w:sz w:val="20"/>
          <w:szCs w:val="20"/>
          <w:lang w:val="en-US" w:eastAsia="zh-CN"/>
        </w:rPr>
        <w:t xml:space="preserve">n 2Tx/3Tx PC2/1.5 </w:t>
      </w:r>
      <w:r>
        <w:rPr>
          <w:rFonts w:hint="eastAsia" w:ascii="Times New Roman" w:hAnsi="Times New Roman" w:cs="Times New Roman"/>
          <w:sz w:val="20"/>
          <w:szCs w:val="20"/>
          <w:lang w:val="en-US" w:eastAsia="ja-JP"/>
        </w:rPr>
        <w:t>Int</w:t>
      </w:r>
      <w:r>
        <w:rPr>
          <w:rFonts w:hint="eastAsia" w:ascii="Times New Roman" w:hAnsi="Times New Roman" w:cs="Times New Roman"/>
          <w:sz w:val="20"/>
          <w:szCs w:val="20"/>
          <w:lang w:val="en-US" w:eastAsia="zh-CN"/>
        </w:rPr>
        <w:t>er</w:t>
      </w:r>
      <w:r>
        <w:rPr>
          <w:rFonts w:hint="eastAsia" w:ascii="Times New Roman" w:hAnsi="Times New Roman" w:cs="Times New Roman"/>
          <w:sz w:val="20"/>
          <w:szCs w:val="20"/>
          <w:lang w:val="en-US" w:eastAsia="ja-JP"/>
        </w:rPr>
        <w:t>-band</w:t>
      </w:r>
      <w:r>
        <w:rPr>
          <w:rFonts w:hint="eastAsia" w:ascii="Times New Roman" w:hAnsi="Times New Roman" w:cs="Times New Roman"/>
          <w:sz w:val="20"/>
          <w:szCs w:val="20"/>
          <w:lang w:val="en-US" w:eastAsia="zh-CN"/>
        </w:rPr>
        <w:t xml:space="preserve"> NR CA/ENDC</w:t>
      </w:r>
      <w:r>
        <w:rPr>
          <w:rFonts w:hint="eastAsia" w:cs="Times New Roman"/>
          <w:sz w:val="20"/>
          <w:szCs w:val="20"/>
          <w:lang w:val="en-US" w:eastAsia="zh-CN"/>
        </w:rPr>
        <w:t>.</w:t>
      </w:r>
      <w:r>
        <w:rPr>
          <w:rFonts w:hint="default" w:ascii="Times New Roman" w:hAnsi="Times New Roman" w:cs="Times New Roman"/>
          <w:sz w:val="20"/>
          <w:szCs w:val="20"/>
          <w:lang w:val="en-US" w:eastAsia="zh-CN"/>
        </w:rPr>
        <w:t xml:space="preserve"> </w:t>
      </w:r>
      <w:bookmarkEnd w:id="9"/>
    </w:p>
    <w:bookmarkEnd w:id="8"/>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bookmarkStart w:id="11" w:name="OLE_LINK11"/>
      <w:bookmarkStart w:id="12" w:name="OLE_LINK66"/>
      <w:bookmarkStart w:id="13" w:name="OLE_LINK23"/>
      <w:bookmarkStart w:id="14" w:name="OLE_LINK28"/>
      <w:r>
        <w:rPr>
          <w:rFonts w:hint="eastAsia" w:cs="Times New Roman"/>
          <w:i w:val="0"/>
          <w:iCs w:val="0"/>
          <w:sz w:val="20"/>
          <w:szCs w:val="22"/>
          <w:highlight w:val="none"/>
          <w:lang w:val="en-US" w:eastAsia="zh-CN"/>
        </w:rPr>
        <w:t>For the duty cycle solution for SAR compliance, the agreement is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2"/>
              <w:keepNext/>
              <w:keepLines/>
              <w:pageBreakBefore w:val="0"/>
              <w:numPr>
                <w:ilvl w:val="0"/>
                <w:numId w:val="0"/>
              </w:numPr>
              <w:kinsoku/>
              <w:wordWrap/>
              <w:overflowPunct w:val="0"/>
              <w:topLinePunct w:val="0"/>
              <w:autoSpaceDE w:val="0"/>
              <w:autoSpaceDN w:val="0"/>
              <w:bidi w:val="0"/>
              <w:adjustRightInd w:val="0"/>
              <w:spacing w:after="180"/>
              <w:ind w:leftChars="0"/>
              <w:textAlignment w:val="baseline"/>
              <w:rPr>
                <w:rFonts w:eastAsia="宋体"/>
                <w:szCs w:val="24"/>
                <w:lang w:eastAsia="zh-CN"/>
              </w:rPr>
            </w:pPr>
            <w:r>
              <w:t>1. General aspect</w:t>
            </w:r>
          </w:p>
          <w:p>
            <w:pPr>
              <w:pStyle w:val="3"/>
              <w:keepNext/>
              <w:keepLines/>
              <w:pageBreakBefore w:val="0"/>
              <w:numPr>
                <w:ilvl w:val="1"/>
                <w:numId w:val="0"/>
              </w:numPr>
              <w:kinsoku/>
              <w:wordWrap/>
              <w:overflowPunct w:val="0"/>
              <w:topLinePunct w:val="0"/>
              <w:autoSpaceDE w:val="0"/>
              <w:autoSpaceDN w:val="0"/>
              <w:bidi w:val="0"/>
              <w:adjustRightInd w:val="0"/>
              <w:spacing w:after="180"/>
              <w:ind w:left="993" w:leftChars="0" w:right="210" w:rightChars="100"/>
              <w:textAlignment w:val="baseline"/>
              <w:rPr>
                <w:sz w:val="24"/>
                <w:lang w:eastAsia="zh-CN"/>
              </w:rPr>
            </w:pPr>
            <w:r>
              <w:rPr>
                <w:sz w:val="24"/>
              </w:rPr>
              <w:t>1.1 Duty cycle solution for SAR compliance</w:t>
            </w:r>
          </w:p>
          <w:p>
            <w:pPr>
              <w:keepNext/>
              <w:keepLines/>
              <w:pageBreakBefore w:val="0"/>
              <w:kinsoku/>
              <w:wordWrap/>
              <w:overflowPunct/>
              <w:topLinePunct w:val="0"/>
              <w:autoSpaceDE/>
              <w:autoSpaceDN/>
              <w:bidi w:val="0"/>
              <w:adjustRightInd/>
              <w:spacing w:after="120"/>
              <w:textAlignment w:val="auto"/>
              <w:rPr>
                <w:rFonts w:hint="eastAsia" w:cs="Times New Roman"/>
                <w:i w:val="0"/>
                <w:iCs w:val="0"/>
                <w:sz w:val="20"/>
                <w:szCs w:val="22"/>
                <w:highlight w:val="none"/>
                <w:vertAlign w:val="baseline"/>
                <w:lang w:val="en-US" w:eastAsia="zh-CN"/>
              </w:rPr>
            </w:pPr>
            <w:r>
              <w:rPr>
                <w:b/>
                <w:highlight w:val="green"/>
                <w:lang w:eastAsia="zh-CN"/>
              </w:rPr>
              <w:t>Online agreement:</w:t>
            </w:r>
            <w:r>
              <w:rPr>
                <w:rFonts w:eastAsia="宋体"/>
                <w:color w:val="0070C0"/>
                <w:szCs w:val="24"/>
                <w:highlight w:val="green"/>
                <w:lang w:eastAsia="zh-CN"/>
              </w:rPr>
              <w:t xml:space="preserve"> </w:t>
            </w:r>
            <w:r>
              <w:rPr>
                <w:highlight w:val="green"/>
                <w:lang w:eastAsia="zh-CN"/>
              </w:rPr>
              <w:t>Duty cycle solution is considered for both intra-band CA and inter-band CA/EN-DC</w:t>
            </w:r>
          </w:p>
        </w:tc>
      </w:tr>
    </w:tbl>
    <w:p>
      <w:pPr>
        <w:keepNext/>
        <w:keepLines/>
        <w:pageBreakBefore w:val="0"/>
        <w:widowControl w:val="0"/>
        <w:numPr>
          <w:ilvl w:val="0"/>
          <w:numId w:val="0"/>
        </w:numPr>
        <w:kinsoku/>
        <w:wordWrap/>
        <w:topLinePunct w:val="0"/>
        <w:bidi w:val="0"/>
        <w:snapToGrid w:val="0"/>
        <w:spacing w:before="137" w:beforeLines="-2147483648" w:after="120" w:afterLines="-2147483648"/>
        <w:ind w:leftChars="0"/>
        <w:jc w:val="left"/>
        <w:rPr>
          <w:rFonts w:hint="default" w:cs="Times New Roman"/>
          <w:sz w:val="20"/>
          <w:szCs w:val="20"/>
          <w:lang w:val="en-US" w:eastAsia="zh-CN"/>
        </w:rPr>
      </w:pPr>
      <w:r>
        <w:rPr>
          <w:rFonts w:hint="eastAsia" w:cs="Times New Roman"/>
          <w:sz w:val="20"/>
          <w:szCs w:val="20"/>
          <w:lang w:val="en-US" w:eastAsia="zh-CN"/>
        </w:rPr>
        <w:t xml:space="preserve">Moreover, the agreements on </w:t>
      </w:r>
      <w:r>
        <w:rPr>
          <w:rFonts w:eastAsia="MS Mincho"/>
          <w:szCs w:val="24"/>
          <w:lang w:val="en-US" w:eastAsia="zh-CN"/>
        </w:rPr>
        <w:t>different duplex mode configurations</w:t>
      </w:r>
      <w:r>
        <w:rPr>
          <w:rFonts w:hint="eastAsia" w:eastAsia="MS Mincho"/>
          <w:szCs w:val="24"/>
          <w:lang w:val="en-US" w:eastAsia="zh-CN"/>
        </w:rPr>
        <w:t xml:space="preserve">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6"/>
              <w:keepNext/>
              <w:keepLines/>
              <w:pageBreakBefore w:val="0"/>
              <w:kinsoku/>
              <w:wordWrap/>
              <w:overflowPunct w:val="0"/>
              <w:topLinePunct w:val="0"/>
              <w:autoSpaceDE w:val="0"/>
              <w:autoSpaceDN w:val="0"/>
              <w:bidi w:val="0"/>
              <w:adjustRightInd w:val="0"/>
              <w:spacing w:after="180"/>
              <w:ind w:left="0" w:firstLine="0"/>
              <w:textAlignment w:val="baseline"/>
              <w:rPr>
                <w:b/>
                <w:lang w:eastAsia="zh-CN"/>
              </w:rPr>
            </w:pPr>
            <w:r>
              <w:rPr>
                <w:b/>
                <w:lang w:eastAsia="zh-CN"/>
              </w:rPr>
              <w:t xml:space="preserve">Way forward: </w:t>
            </w:r>
          </w:p>
          <w:p>
            <w:pPr>
              <w:keepNext/>
              <w:keepLines/>
              <w:pageBreakBefore w:val="0"/>
              <w:numPr>
                <w:ilvl w:val="1"/>
                <w:numId w:val="7"/>
              </w:numPr>
              <w:kinsoku/>
              <w:wordWrap/>
              <w:overflowPunct/>
              <w:topLinePunct w:val="0"/>
              <w:autoSpaceDE/>
              <w:autoSpaceDN/>
              <w:bidi w:val="0"/>
              <w:adjustRightInd/>
              <w:spacing w:after="120"/>
              <w:ind w:left="1434" w:hanging="357"/>
              <w:textAlignment w:val="auto"/>
              <w:rPr>
                <w:rFonts w:eastAsia="MS Mincho"/>
                <w:szCs w:val="24"/>
                <w:lang w:val="en-US" w:eastAsia="zh-CN"/>
              </w:rPr>
            </w:pPr>
            <w:r>
              <w:rPr>
                <w:rFonts w:eastAsia="MS Mincho"/>
                <w:szCs w:val="24"/>
                <w:lang w:val="en-US" w:eastAsia="zh-CN"/>
              </w:rPr>
              <w:t>General requirements can be specified including considerations of different duplex mode configurations:</w:t>
            </w:r>
          </w:p>
          <w:p>
            <w:pPr>
              <w:keepNext/>
              <w:keepLines/>
              <w:pageBreakBefore w:val="0"/>
              <w:numPr>
                <w:ilvl w:val="1"/>
                <w:numId w:val="8"/>
              </w:numPr>
              <w:kinsoku/>
              <w:wordWrap/>
              <w:overflowPunct/>
              <w:topLinePunct w:val="0"/>
              <w:autoSpaceDE/>
              <w:autoSpaceDN/>
              <w:bidi w:val="0"/>
              <w:adjustRightInd/>
              <w:spacing w:after="120"/>
              <w:ind w:left="1775" w:hanging="357"/>
              <w:textAlignment w:val="auto"/>
              <w:rPr>
                <w:rFonts w:eastAsia="MS Mincho"/>
                <w:szCs w:val="24"/>
                <w:lang w:val="en-US" w:eastAsia="zh-CN"/>
              </w:rPr>
            </w:pPr>
            <w:r>
              <w:rPr>
                <w:rFonts w:eastAsia="MS Mincho"/>
                <w:szCs w:val="24"/>
                <w:lang w:val="en-US" w:eastAsia="zh-CN"/>
              </w:rPr>
              <w:t>For PC2, </w:t>
            </w:r>
            <w:r>
              <w:rPr>
                <w:rFonts w:hint="eastAsia" w:eastAsia="MS Mincho"/>
                <w:szCs w:val="24"/>
                <w:lang w:val="en-US" w:eastAsia="zh-CN"/>
              </w:rPr>
              <w:t>FDD+FDD, FDD+TDD, TDD+TDD with 2Tx and 3Tx</w:t>
            </w:r>
          </w:p>
          <w:p>
            <w:pPr>
              <w:keepNext/>
              <w:keepLines/>
              <w:pageBreakBefore w:val="0"/>
              <w:numPr>
                <w:ilvl w:val="1"/>
                <w:numId w:val="8"/>
              </w:numPr>
              <w:kinsoku/>
              <w:wordWrap/>
              <w:overflowPunct/>
              <w:topLinePunct w:val="0"/>
              <w:autoSpaceDE/>
              <w:autoSpaceDN/>
              <w:bidi w:val="0"/>
              <w:adjustRightInd/>
              <w:spacing w:after="120"/>
              <w:ind w:left="1775" w:hanging="357"/>
              <w:textAlignment w:val="auto"/>
              <w:rPr>
                <w:rFonts w:hint="eastAsia" w:cs="Times New Roman"/>
                <w:sz w:val="20"/>
                <w:szCs w:val="20"/>
                <w:vertAlign w:val="baseline"/>
                <w:lang w:val="en-US" w:eastAsia="zh-CN"/>
              </w:rPr>
            </w:pPr>
            <w:r>
              <w:rPr>
                <w:rFonts w:eastAsia="MS Mincho"/>
                <w:szCs w:val="24"/>
                <w:lang w:val="en-US" w:eastAsia="zh-CN"/>
              </w:rPr>
              <w:t>For PC1.5, [FDD+FDD,] FDD+TDD, TDD+TDD with 2Tx and 3Tx</w:t>
            </w:r>
          </w:p>
        </w:tc>
      </w:tr>
    </w:tbl>
    <w:p>
      <w:pPr>
        <w:keepNext/>
        <w:keepLines/>
        <w:pageBreakBefore w:val="0"/>
        <w:widowControl w:val="0"/>
        <w:numPr>
          <w:ilvl w:val="0"/>
          <w:numId w:val="0"/>
        </w:numPr>
        <w:kinsoku/>
        <w:wordWrap/>
        <w:topLinePunct w:val="0"/>
        <w:bidi w:val="0"/>
        <w:snapToGrid w:val="0"/>
        <w:spacing w:before="137" w:beforeLines="-2147483648" w:after="120" w:afterLines="-2147483648"/>
        <w:ind w:leftChars="0"/>
        <w:jc w:val="left"/>
        <w:rPr>
          <w:rFonts w:hint="default" w:eastAsia="宋体" w:cs="Times New Roman"/>
          <w:sz w:val="20"/>
          <w:lang w:val="en-US" w:eastAsia="zh-CN" w:bidi="ar-SA"/>
        </w:rPr>
      </w:pPr>
      <w:r>
        <w:rPr>
          <w:rFonts w:hint="eastAsia" w:cs="Times New Roman"/>
          <w:sz w:val="20"/>
          <w:szCs w:val="20"/>
          <w:lang w:val="en-US" w:eastAsia="zh-CN"/>
        </w:rPr>
        <w:t xml:space="preserve">For the duty cycle based SAR solution, we think it </w:t>
      </w:r>
      <w:r>
        <w:rPr>
          <w:rFonts w:hint="eastAsia" w:eastAsia="宋体" w:cs="Times New Roman"/>
          <w:sz w:val="20"/>
          <w:lang w:val="en-US" w:eastAsia="zh-CN" w:bidi="ar-SA"/>
        </w:rPr>
        <w:t xml:space="preserve">should be </w:t>
      </w:r>
      <w:r>
        <w:rPr>
          <w:rFonts w:hint="eastAsia" w:cs="Times New Roman"/>
          <w:sz w:val="20"/>
          <w:lang w:val="en-US" w:eastAsia="zh-CN" w:bidi="ar-SA"/>
        </w:rPr>
        <w:t xml:space="preserve">based on the scenarios. </w:t>
      </w:r>
      <w:r>
        <w:rPr>
          <w:rFonts w:hint="eastAsia" w:cs="Times New Roman"/>
          <w:sz w:val="20"/>
          <w:szCs w:val="20"/>
          <w:lang w:val="en-US" w:eastAsia="zh-CN"/>
        </w:rPr>
        <w:t xml:space="preserve">it would be foreseen that the duty cycle scheme is different for the band combination between PC2 FDD+PC2/1.5 TDD and PC2 TDD+PC2/1.5 TDD, since there is no duty cycle scheme introduced for PC2 FDD single band, instead P-MPR scheme is used to meet the SAR requirements. Therefore, we think there is no need to define duty cycle scheme for the </w:t>
      </w:r>
      <w:r>
        <w:rPr>
          <w:rFonts w:hint="eastAsia" w:cs="Times New Roman"/>
          <w:b w:val="0"/>
          <w:bCs w:val="0"/>
          <w:i w:val="0"/>
          <w:iCs w:val="0"/>
          <w:sz w:val="20"/>
          <w:szCs w:val="20"/>
          <w:lang w:val="en-US" w:eastAsia="zh-CN"/>
        </w:rPr>
        <w:t xml:space="preserve">2Tx PC1.5 NR inter-band UL CA including PC2 FDD band since it would not proper to assume the 100% duty cycle for PC2 FDD band, unlike PC3 FDD band. In the other words, </w:t>
      </w:r>
      <w:r>
        <w:rPr>
          <w:rFonts w:hint="eastAsia" w:eastAsia="宋体" w:cs="Times New Roman"/>
          <w:sz w:val="20"/>
          <w:lang w:val="en-US" w:eastAsia="zh-CN" w:bidi="ar-SA"/>
        </w:rPr>
        <w:t>d</w:t>
      </w:r>
      <w:r>
        <w:rPr>
          <w:rFonts w:hint="eastAsia" w:ascii="Times New Roman" w:hAnsi="Times New Roman" w:eastAsia="宋体" w:cs="Times New Roman"/>
          <w:sz w:val="20"/>
          <w:lang w:val="en-US" w:eastAsia="zh-CN" w:bidi="ar-SA"/>
        </w:rPr>
        <w:t xml:space="preserve">uty-cycle solution </w:t>
      </w:r>
      <w:r>
        <w:rPr>
          <w:rFonts w:hint="eastAsia" w:eastAsia="宋体" w:cs="Times New Roman"/>
          <w:sz w:val="20"/>
          <w:lang w:val="en-US" w:eastAsia="zh-CN" w:bidi="ar-SA"/>
        </w:rPr>
        <w:t xml:space="preserve">should be </w:t>
      </w:r>
      <w:r>
        <w:rPr>
          <w:rFonts w:hint="eastAsia" w:ascii="Times New Roman" w:hAnsi="Times New Roman" w:eastAsia="宋体" w:cs="Times New Roman"/>
          <w:sz w:val="20"/>
          <w:lang w:val="en-US" w:eastAsia="zh-CN" w:bidi="ar-SA"/>
        </w:rPr>
        <w:t>considered for limited scenarios</w:t>
      </w:r>
      <w:r>
        <w:rPr>
          <w:rFonts w:hint="eastAsia" w:eastAsia="宋体" w:cs="Times New Roman"/>
          <w:sz w:val="20"/>
          <w:lang w:val="en-US" w:eastAsia="zh-CN" w:bidi="ar-SA"/>
        </w:rPr>
        <w:t>.</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eastAsia" w:cs="Times New Roman"/>
          <w:b/>
          <w:bCs/>
          <w:i/>
          <w:iCs/>
          <w:sz w:val="20"/>
          <w:lang w:val="en-US" w:eastAsia="zh-CN" w:bidi="ar-SA"/>
        </w:rPr>
      </w:pPr>
      <w:r>
        <w:rPr>
          <w:rFonts w:hint="eastAsia" w:cs="Times New Roman"/>
          <w:b/>
          <w:bCs/>
          <w:i/>
          <w:iCs/>
          <w:sz w:val="20"/>
          <w:szCs w:val="20"/>
          <w:lang w:val="en-US" w:eastAsia="zh-CN"/>
        </w:rPr>
        <w:t xml:space="preserve">Proposal 1: </w:t>
      </w:r>
      <w:r>
        <w:rPr>
          <w:rFonts w:hint="eastAsia" w:eastAsia="宋体" w:cs="Times New Roman"/>
          <w:b/>
          <w:bCs/>
          <w:i/>
          <w:iCs/>
          <w:sz w:val="20"/>
          <w:lang w:val="en-US" w:eastAsia="zh-CN" w:bidi="ar-SA"/>
        </w:rPr>
        <w:t>d</w:t>
      </w:r>
      <w:r>
        <w:rPr>
          <w:rFonts w:hint="eastAsia" w:ascii="Times New Roman" w:hAnsi="Times New Roman" w:eastAsia="宋体" w:cs="Times New Roman"/>
          <w:b/>
          <w:bCs/>
          <w:i/>
          <w:iCs/>
          <w:sz w:val="20"/>
          <w:lang w:val="en-US" w:eastAsia="zh-CN" w:bidi="ar-SA"/>
        </w:rPr>
        <w:t xml:space="preserve">uty-cycle solution </w:t>
      </w:r>
      <w:r>
        <w:rPr>
          <w:rFonts w:hint="eastAsia" w:eastAsia="宋体" w:cs="Times New Roman"/>
          <w:b/>
          <w:bCs/>
          <w:i/>
          <w:iCs/>
          <w:sz w:val="20"/>
          <w:lang w:val="en-US" w:eastAsia="zh-CN" w:bidi="ar-SA"/>
        </w:rPr>
        <w:t xml:space="preserve">should be </w:t>
      </w:r>
      <w:r>
        <w:rPr>
          <w:rFonts w:hint="eastAsia" w:ascii="Times New Roman" w:hAnsi="Times New Roman" w:eastAsia="宋体" w:cs="Times New Roman"/>
          <w:b/>
          <w:bCs/>
          <w:i/>
          <w:iCs/>
          <w:sz w:val="20"/>
          <w:lang w:val="en-US" w:eastAsia="zh-CN" w:bidi="ar-SA"/>
        </w:rPr>
        <w:t>considered for limited scenarios</w:t>
      </w:r>
      <w:r>
        <w:rPr>
          <w:rFonts w:hint="eastAsia" w:cs="Times New Roman"/>
          <w:b/>
          <w:bCs/>
          <w:i/>
          <w:iCs/>
          <w:sz w:val="20"/>
          <w:lang w:val="en-US" w:eastAsia="zh-CN" w:bidi="ar-SA"/>
        </w:rPr>
        <w:t xml:space="preserve"> </w:t>
      </w:r>
      <w:r>
        <w:rPr>
          <w:rFonts w:hint="eastAsia" w:cs="Times New Roman"/>
          <w:b/>
          <w:bCs/>
          <w:i/>
          <w:iCs/>
          <w:sz w:val="20"/>
          <w:szCs w:val="20"/>
          <w:lang w:val="en-US" w:eastAsia="zh-CN"/>
        </w:rPr>
        <w:t>of PC2/PC1.5 NR inter-band UL CA</w:t>
      </w:r>
      <w:r>
        <w:rPr>
          <w:rFonts w:hint="eastAsia" w:cs="Times New Roman"/>
          <w:b/>
          <w:bCs/>
          <w:i/>
          <w:iCs/>
          <w:sz w:val="20"/>
          <w:lang w:val="en-US" w:eastAsia="zh-CN" w:bidi="ar-SA"/>
        </w:rPr>
        <w:t>.</w:t>
      </w:r>
    </w:p>
    <w:p>
      <w:pPr>
        <w:keepNext/>
        <w:keepLines/>
        <w:pageBreakBefore w:val="0"/>
        <w:widowControl w:val="0"/>
        <w:numPr>
          <w:ilvl w:val="0"/>
          <w:numId w:val="9"/>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Only consider P-MPR scheme for the band combination including PC2 FDD band, i.e. FDD+FDD, FDD+TDD</w:t>
      </w:r>
    </w:p>
    <w:p>
      <w:pPr>
        <w:keepNext/>
        <w:keepLines/>
        <w:pageBreakBefore w:val="0"/>
        <w:widowControl w:val="0"/>
        <w:numPr>
          <w:ilvl w:val="0"/>
          <w:numId w:val="9"/>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Except P-MPR, duty cycle scheme is applied to the band combination including pure TDD bands, i.e. TDD+TDD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i w:val="0"/>
          <w:iCs w:val="0"/>
          <w:sz w:val="20"/>
          <w:szCs w:val="22"/>
          <w:highlight w:val="none"/>
          <w:lang w:val="en-US" w:eastAsia="zh-CN"/>
        </w:rPr>
        <w:t>For the 3UL CC with 3Tx, the agreements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spacing w:after="180"/>
              <w:ind w:right="210" w:rightChars="100"/>
              <w:textAlignment w:val="baseline"/>
              <w:rPr>
                <w:sz w:val="24"/>
                <w:lang w:eastAsia="zh-CN"/>
              </w:rPr>
            </w:pPr>
            <w:r>
              <w:rPr>
                <w:sz w:val="24"/>
              </w:rPr>
              <w:t>3.3 3UL CC with 3Tx</w:t>
            </w:r>
          </w:p>
          <w:p>
            <w:pPr>
              <w:pStyle w:val="46"/>
              <w:overflowPunct w:val="0"/>
              <w:autoSpaceDE w:val="0"/>
              <w:autoSpaceDN w:val="0"/>
              <w:adjustRightInd w:val="0"/>
              <w:spacing w:after="180"/>
              <w:ind w:left="0" w:firstLine="0"/>
              <w:textAlignment w:val="baseline"/>
              <w:rPr>
                <w:rFonts w:hint="eastAsia" w:cs="Times New Roman"/>
                <w:i w:val="0"/>
                <w:iCs w:val="0"/>
                <w:sz w:val="20"/>
                <w:szCs w:val="22"/>
                <w:highlight w:val="none"/>
                <w:vertAlign w:val="baseline"/>
                <w:lang w:val="en-US" w:eastAsia="zh-CN"/>
              </w:rPr>
            </w:pPr>
            <w:r>
              <w:rPr>
                <w:b/>
                <w:lang w:eastAsia="zh-CN"/>
              </w:rPr>
              <w:t>Way forward:</w:t>
            </w:r>
            <w:r>
              <w:rPr>
                <w:rFonts w:eastAsia="宋体"/>
                <w:szCs w:val="24"/>
                <w:lang w:eastAsia="zh-CN"/>
              </w:rPr>
              <w:t xml:space="preserve"> RAN4 to further check whether there is demand for 3 ULCC with 3Tx scenario (such as CA_nXA-nY(2A) and CA_ nXA-nYB), and whether it is desirable to be introduced in Rel-19.</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i w:val="0"/>
          <w:iCs w:val="0"/>
          <w:sz w:val="20"/>
          <w:szCs w:val="22"/>
          <w:highlight w:val="none"/>
          <w:lang w:val="en-US" w:eastAsia="zh-CN"/>
        </w:rPr>
      </w:pPr>
      <w:r>
        <w:rPr>
          <w:rFonts w:hint="eastAsia" w:cs="Times New Roman"/>
          <w:i w:val="0"/>
          <w:iCs w:val="0"/>
          <w:sz w:val="20"/>
          <w:szCs w:val="22"/>
          <w:highlight w:val="none"/>
          <w:lang w:val="en-US" w:eastAsia="zh-CN"/>
        </w:rPr>
        <w:t>In our understanding, it is difficult to check whether there is demand from operator for the time being since the demands from operators are usually changed as time goes by. Hence, it would be premature to exclude 2 bands 3UL CC with 3Tx scenarios.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i w:val="0"/>
          <w:iCs w:val="0"/>
          <w:sz w:val="20"/>
          <w:szCs w:val="22"/>
          <w:highlight w:val="none"/>
          <w:lang w:val="en-US" w:eastAsia="zh-CN"/>
        </w:rPr>
      </w:pPr>
      <w:r>
        <w:rPr>
          <w:rFonts w:hint="eastAsia" w:cs="Times New Roman"/>
          <w:i w:val="0"/>
          <w:iCs w:val="0"/>
          <w:sz w:val="20"/>
          <w:szCs w:val="22"/>
          <w:highlight w:val="none"/>
          <w:lang w:val="en-US" w:eastAsia="zh-CN"/>
        </w:rPr>
        <w:t>Actually, in the R19 HPUE basket WID[4][5], there are no restrictions for the UL CC number, instead there are limitation for the UL band number which limits to 2 bands. From this aspect, it may not appropriate to exclude 3UL CC for 3Tx scenario.</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i w:val="0"/>
          <w:iCs w:val="0"/>
          <w:sz w:val="20"/>
          <w:szCs w:val="22"/>
          <w:highlight w:val="none"/>
          <w:lang w:val="en-US" w:eastAsia="zh-CN"/>
        </w:rPr>
        <w:t xml:space="preserve">However, there are some agreements for the valid UL configurations for PC3 band combination, which can be found in the WF for the TR template [6], as shown below: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tabs>
                <w:tab w:val="left" w:pos="1985"/>
              </w:tabs>
              <w:overflowPunct w:val="0"/>
              <w:autoSpaceDE w:val="0"/>
              <w:autoSpaceDN w:val="0"/>
              <w:adjustRightInd w:val="0"/>
              <w:spacing w:after="180"/>
              <w:jc w:val="both"/>
              <w:textAlignment w:val="baseline"/>
              <w:outlineLvl w:val="0"/>
              <w:rPr>
                <w:rFonts w:ascii="Arial" w:hAnsi="Arial"/>
                <w:sz w:val="36"/>
                <w:lang w:val="en-US" w:eastAsia="en-GB"/>
              </w:rPr>
            </w:pPr>
            <w:r>
              <w:rPr>
                <w:rFonts w:hint="eastAsia" w:ascii="Arial" w:hAnsi="Arial"/>
                <w:sz w:val="36"/>
                <w:lang w:val="en-US" w:eastAsia="zh-CN"/>
              </w:rPr>
              <w:t>Annex B: Valid UL configurations</w:t>
            </w:r>
          </w:p>
          <w:p>
            <w:pPr>
              <w:keepNext/>
              <w:overflowPunct w:val="0"/>
              <w:autoSpaceDE w:val="0"/>
              <w:autoSpaceDN w:val="0"/>
              <w:adjustRightInd w:val="0"/>
              <w:snapToGri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For CA_nX-nY two band DL inter band combinations, the following UL configurations are applicable:</w:t>
            </w:r>
          </w:p>
          <w:p>
            <w:pPr>
              <w:keepNext/>
              <w:numPr>
                <w:ilvl w:val="0"/>
                <w:numId w:val="10"/>
              </w:numPr>
              <w:overflowPunct w:val="0"/>
              <w:autoSpaceDE w:val="0"/>
              <w:autoSpaceDN w:val="0"/>
              <w:adjustRightInd w:val="0"/>
              <w:snapToGri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One band UL with one CC: nXA, nYA</w:t>
            </w:r>
          </w:p>
          <w:p>
            <w:pPr>
              <w:keepNext/>
              <w:numPr>
                <w:ilvl w:val="0"/>
                <w:numId w:val="10"/>
              </w:numPr>
              <w:overflowPunct w:val="0"/>
              <w:autoSpaceDE w:val="0"/>
              <w:autoSpaceDN w:val="0"/>
              <w:adjustRightInd w:val="0"/>
              <w:snapToGri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One band UL with two CC: CA_nXB, CA_nXC, CA_nX(2A), CA_nYB, CA_nYC, CA_nY(2A)</w:t>
            </w:r>
          </w:p>
          <w:p>
            <w:pPr>
              <w:keepNext/>
              <w:numPr>
                <w:ilvl w:val="0"/>
                <w:numId w:val="10"/>
              </w:numPr>
              <w:overflowPunct w:val="0"/>
              <w:autoSpaceDE w:val="0"/>
              <w:autoSpaceDN w:val="0"/>
              <w:adjustRightInd w:val="0"/>
              <w:snapToGri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two band UL with one CC per band: CA_nXA-nYA</w:t>
            </w:r>
          </w:p>
          <w:p>
            <w:pPr>
              <w:keepNext/>
              <w:numPr>
                <w:ilvl w:val="0"/>
                <w:numId w:val="10"/>
              </w:numPr>
              <w:overflowPunct w:val="0"/>
              <w:autoSpaceDE w:val="0"/>
              <w:autoSpaceDN w:val="0"/>
              <w:adjustRightInd w:val="0"/>
              <w:snapToGri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lang w:val="en-US" w:eastAsia="en-GB"/>
              </w:rPr>
              <w:t>two band UL with two CC in one band: CA_nXB-nYA, CA_nXC-nYA, CA_nXA-nYB, CA_nXA-nYC</w:t>
            </w:r>
          </w:p>
          <w:p>
            <w:pPr>
              <w:overflowPunct w:val="0"/>
              <w:autoSpaceDE w:val="0"/>
              <w:autoSpaceDN w:val="0"/>
              <w:adjustRightInd w:val="0"/>
              <w:spacing w:after="0"/>
              <w:textAlignment w:val="baseline"/>
              <w:rPr>
                <w:rFonts w:hint="default" w:ascii="Arial" w:hAnsi="Arial" w:eastAsia="Times New Roman" w:cs="Arial"/>
                <w:sz w:val="20"/>
                <w:szCs w:val="20"/>
                <w:lang w:val="en-US" w:eastAsia="en-GB"/>
              </w:rPr>
            </w:pPr>
            <w:r>
              <w:rPr>
                <w:rFonts w:hint="default" w:ascii="Arial" w:hAnsi="Arial" w:eastAsia="Times New Roman" w:cs="Arial"/>
                <w:sz w:val="20"/>
                <w:szCs w:val="20"/>
                <w:highlight w:val="yellow"/>
                <w:lang w:val="en-US" w:eastAsia="en-GB"/>
              </w:rPr>
              <w:t>The following three UL cluster cases are not supported: CA_nX(2A)-nYA, CA_nXA-nY(2A</w:t>
            </w:r>
            <w:r>
              <w:rPr>
                <w:rFonts w:hint="default" w:ascii="Arial" w:hAnsi="Arial" w:eastAsia="Times New Roman" w:cs="Arial"/>
                <w:sz w:val="20"/>
                <w:szCs w:val="20"/>
                <w:lang w:val="en-US" w:eastAsia="en-GB"/>
              </w:rPr>
              <w:t>)</w:t>
            </w:r>
          </w:p>
          <w:p>
            <w:pPr>
              <w:overflowPunct w:val="0"/>
              <w:autoSpaceDE w:val="0"/>
              <w:autoSpaceDN w:val="0"/>
              <w:adjustRightInd w:val="0"/>
              <w:spacing w:after="180"/>
              <w:textAlignment w:val="baseline"/>
              <w:rPr>
                <w:rFonts w:hint="eastAsia" w:cs="Times New Roman"/>
                <w:i w:val="0"/>
                <w:iCs w:val="0"/>
                <w:sz w:val="20"/>
                <w:szCs w:val="22"/>
                <w:highlight w:val="none"/>
                <w:vertAlign w:val="baseline"/>
                <w:lang w:val="en-US" w:eastAsia="zh-CN"/>
              </w:rPr>
            </w:pPr>
            <w:r>
              <w:rPr>
                <w:rFonts w:hint="default" w:ascii="Arial" w:hAnsi="Arial" w:eastAsia="Times New Roman" w:cs="Arial"/>
                <w:sz w:val="20"/>
                <w:szCs w:val="20"/>
                <w:lang w:val="en-US" w:eastAsia="en-GB"/>
              </w:rPr>
              <w:t>Combinations with four UL CCs are not supported.</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Cs w:val="24"/>
          <w:lang w:val="en-US" w:eastAsia="zh-CN"/>
        </w:rPr>
      </w:pPr>
      <w:r>
        <w:rPr>
          <w:rFonts w:hint="eastAsia" w:cs="Times New Roman"/>
          <w:i w:val="0"/>
          <w:iCs w:val="0"/>
          <w:sz w:val="20"/>
          <w:szCs w:val="22"/>
          <w:highlight w:val="none"/>
          <w:lang w:val="en-US" w:eastAsia="zh-CN"/>
        </w:rPr>
        <w:t>We can see that the 3UL CC with inter-band +intra-band non-contiguous UL CA (i.e.</w:t>
      </w:r>
      <w:r>
        <w:rPr>
          <w:rFonts w:hint="default" w:cs="Times New Roman"/>
          <w:i w:val="0"/>
          <w:iCs w:val="0"/>
          <w:sz w:val="20"/>
          <w:szCs w:val="22"/>
          <w:highlight w:val="none"/>
          <w:lang w:val="en-US" w:eastAsia="en-GB"/>
        </w:rPr>
        <w:t>CA_nX(2A)-nYA, CA_nXA-nY(2A)</w:t>
      </w:r>
      <w:r>
        <w:rPr>
          <w:rFonts w:hint="eastAsia" w:cs="Times New Roman"/>
          <w:i w:val="0"/>
          <w:iCs w:val="0"/>
          <w:sz w:val="20"/>
          <w:szCs w:val="22"/>
          <w:highlight w:val="none"/>
          <w:lang w:val="en-US" w:eastAsia="zh-CN"/>
        </w:rPr>
        <w:t xml:space="preserve">) are not supported for R19 PC3 band combination, considering PC3 band combination is the fundamental band combination, so </w:t>
      </w:r>
      <w:r>
        <w:rPr>
          <w:rFonts w:eastAsia="宋体"/>
          <w:szCs w:val="24"/>
          <w:lang w:eastAsia="zh-CN"/>
        </w:rPr>
        <w:t>3ULCC</w:t>
      </w:r>
      <w:r>
        <w:rPr>
          <w:rFonts w:hint="eastAsia"/>
          <w:szCs w:val="24"/>
          <w:lang w:val="en-US" w:eastAsia="zh-CN"/>
        </w:rPr>
        <w:t xml:space="preserve"> of</w:t>
      </w:r>
      <w:r>
        <w:rPr>
          <w:rFonts w:eastAsia="宋体"/>
          <w:szCs w:val="24"/>
          <w:lang w:eastAsia="zh-CN"/>
        </w:rPr>
        <w:t xml:space="preserve"> CA_nXA-nY(2A</w:t>
      </w:r>
      <w:r>
        <w:rPr>
          <w:rFonts w:hint="eastAsia"/>
          <w:szCs w:val="24"/>
          <w:lang w:val="en-US" w:eastAsia="zh-CN"/>
        </w:rPr>
        <w:t>) should be excluded from</w:t>
      </w:r>
      <w:r>
        <w:rPr>
          <w:rFonts w:eastAsia="宋体"/>
          <w:szCs w:val="24"/>
          <w:lang w:eastAsia="zh-CN"/>
        </w:rPr>
        <w:t xml:space="preserve"> 3Tx scenario</w:t>
      </w:r>
      <w:r>
        <w:rPr>
          <w:rFonts w:hint="eastAsia"/>
          <w:szCs w:val="24"/>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iCs/>
          <w:sz w:val="20"/>
          <w:szCs w:val="20"/>
          <w:lang w:val="en-US" w:eastAsia="zh-CN"/>
        </w:rPr>
      </w:pPr>
      <w:r>
        <w:rPr>
          <w:rFonts w:hint="eastAsia" w:cs="Times New Roman"/>
          <w:b/>
          <w:bCs/>
          <w:i/>
          <w:iCs/>
          <w:sz w:val="20"/>
          <w:szCs w:val="20"/>
          <w:lang w:val="en-US" w:eastAsia="zh-CN"/>
        </w:rPr>
        <w:t>Proposal 2: 3UL CC of CA_nXA-nY(2A) should be excluded from 3Tx scenario.</w:t>
      </w:r>
    </w:p>
    <w:bookmarkEnd w:id="11"/>
    <w:bookmarkEnd w:id="12"/>
    <w:bookmarkEnd w:id="13"/>
    <w:bookmarkEnd w:id="14"/>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discussions on</w:t>
      </w:r>
      <w:r>
        <w:rPr>
          <w:rFonts w:hint="eastAsia" w:ascii="Times New Roman" w:hAnsi="Times New Roman" w:cs="Times New Roman"/>
          <w:sz w:val="20"/>
          <w:szCs w:val="20"/>
          <w:lang w:val="en-US" w:eastAsia="zh-CN"/>
        </w:rPr>
        <w:t xml:space="preserve"> 2Tx/3Tx PC2/1.5 </w:t>
      </w:r>
      <w:r>
        <w:rPr>
          <w:rFonts w:hint="eastAsia" w:ascii="Times New Roman" w:hAnsi="Times New Roman" w:cs="Times New Roman"/>
          <w:sz w:val="20"/>
          <w:szCs w:val="20"/>
          <w:lang w:val="en-US" w:eastAsia="ja-JP"/>
        </w:rPr>
        <w:t>Int</w:t>
      </w:r>
      <w:r>
        <w:rPr>
          <w:rFonts w:hint="eastAsia" w:ascii="Times New Roman" w:hAnsi="Times New Roman" w:cs="Times New Roman"/>
          <w:sz w:val="20"/>
          <w:szCs w:val="20"/>
          <w:lang w:val="en-US" w:eastAsia="zh-CN"/>
        </w:rPr>
        <w:t>er</w:t>
      </w:r>
      <w:r>
        <w:rPr>
          <w:rFonts w:hint="eastAsia" w:ascii="Times New Roman" w:hAnsi="Times New Roman" w:cs="Times New Roman"/>
          <w:sz w:val="20"/>
          <w:szCs w:val="20"/>
          <w:lang w:val="en-US" w:eastAsia="ja-JP"/>
        </w:rPr>
        <w:t>-band</w:t>
      </w:r>
      <w:r>
        <w:rPr>
          <w:rFonts w:hint="eastAsia" w:ascii="Times New Roman" w:hAnsi="Times New Roman" w:cs="Times New Roman"/>
          <w:sz w:val="20"/>
          <w:szCs w:val="20"/>
          <w:lang w:val="en-US" w:eastAsia="zh-CN"/>
        </w:rPr>
        <w:t xml:space="preserve"> NR CA/ENDC</w:t>
      </w:r>
      <w:r>
        <w:rPr>
          <w:rFonts w:hint="eastAsia" w:cs="Times New Roman"/>
          <w:sz w:val="20"/>
          <w:szCs w:val="20"/>
          <w:lang w:val="en-US" w:eastAsia="zh-CN"/>
        </w:rPr>
        <w:t>.</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eastAsia" w:cs="Times New Roman"/>
          <w:b/>
          <w:bCs/>
          <w:i/>
          <w:iCs/>
          <w:sz w:val="20"/>
          <w:lang w:val="en-US" w:eastAsia="zh-CN" w:bidi="ar-SA"/>
        </w:rPr>
      </w:pPr>
      <w:r>
        <w:rPr>
          <w:rFonts w:hint="eastAsia" w:cs="Times New Roman"/>
          <w:b/>
          <w:bCs/>
          <w:i/>
          <w:iCs/>
          <w:sz w:val="20"/>
          <w:szCs w:val="20"/>
          <w:lang w:val="en-US" w:eastAsia="zh-CN"/>
        </w:rPr>
        <w:t xml:space="preserve">Proposal 1: </w:t>
      </w:r>
      <w:r>
        <w:rPr>
          <w:rFonts w:hint="eastAsia" w:eastAsia="宋体" w:cs="Times New Roman"/>
          <w:b/>
          <w:bCs/>
          <w:i/>
          <w:iCs/>
          <w:sz w:val="20"/>
          <w:lang w:val="en-US" w:eastAsia="zh-CN" w:bidi="ar-SA"/>
        </w:rPr>
        <w:t>d</w:t>
      </w:r>
      <w:r>
        <w:rPr>
          <w:rFonts w:hint="eastAsia" w:ascii="Times New Roman" w:hAnsi="Times New Roman" w:eastAsia="宋体" w:cs="Times New Roman"/>
          <w:b/>
          <w:bCs/>
          <w:i/>
          <w:iCs/>
          <w:sz w:val="20"/>
          <w:lang w:val="en-US" w:eastAsia="zh-CN" w:bidi="ar-SA"/>
        </w:rPr>
        <w:t xml:space="preserve">uty-cycle solution </w:t>
      </w:r>
      <w:r>
        <w:rPr>
          <w:rFonts w:hint="eastAsia" w:eastAsia="宋体" w:cs="Times New Roman"/>
          <w:b/>
          <w:bCs/>
          <w:i/>
          <w:iCs/>
          <w:sz w:val="20"/>
          <w:lang w:val="en-US" w:eastAsia="zh-CN" w:bidi="ar-SA"/>
        </w:rPr>
        <w:t xml:space="preserve">should be </w:t>
      </w:r>
      <w:r>
        <w:rPr>
          <w:rFonts w:hint="eastAsia" w:ascii="Times New Roman" w:hAnsi="Times New Roman" w:eastAsia="宋体" w:cs="Times New Roman"/>
          <w:b/>
          <w:bCs/>
          <w:i/>
          <w:iCs/>
          <w:sz w:val="20"/>
          <w:lang w:val="en-US" w:eastAsia="zh-CN" w:bidi="ar-SA"/>
        </w:rPr>
        <w:t>considered for limited scenarios</w:t>
      </w:r>
      <w:r>
        <w:rPr>
          <w:rFonts w:hint="eastAsia" w:cs="Times New Roman"/>
          <w:b/>
          <w:bCs/>
          <w:i/>
          <w:iCs/>
          <w:sz w:val="20"/>
          <w:lang w:val="en-US" w:eastAsia="zh-CN" w:bidi="ar-SA"/>
        </w:rPr>
        <w:t xml:space="preserve"> </w:t>
      </w:r>
      <w:r>
        <w:rPr>
          <w:rFonts w:hint="eastAsia" w:cs="Times New Roman"/>
          <w:b/>
          <w:bCs/>
          <w:i/>
          <w:iCs/>
          <w:sz w:val="20"/>
          <w:szCs w:val="20"/>
          <w:lang w:val="en-US" w:eastAsia="zh-CN"/>
        </w:rPr>
        <w:t>of PC2/PC1.5 NR inter-band UL CA</w:t>
      </w:r>
      <w:r>
        <w:rPr>
          <w:rFonts w:hint="eastAsia" w:cs="Times New Roman"/>
          <w:b/>
          <w:bCs/>
          <w:i/>
          <w:iCs/>
          <w:sz w:val="20"/>
          <w:lang w:val="en-US" w:eastAsia="zh-CN" w:bidi="ar-SA"/>
        </w:rPr>
        <w:t>.</w:t>
      </w:r>
    </w:p>
    <w:p>
      <w:pPr>
        <w:keepNext/>
        <w:keepLines/>
        <w:pageBreakBefore w:val="0"/>
        <w:widowControl w:val="0"/>
        <w:numPr>
          <w:ilvl w:val="0"/>
          <w:numId w:val="9"/>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Only consider P-MPR scheme for the band combination including PC2 FDD band, i.e. FDD+FDD, FDD+TDD</w:t>
      </w:r>
    </w:p>
    <w:p>
      <w:pPr>
        <w:keepNext/>
        <w:keepLines/>
        <w:pageBreakBefore w:val="0"/>
        <w:widowControl w:val="0"/>
        <w:numPr>
          <w:ilvl w:val="0"/>
          <w:numId w:val="9"/>
        </w:numPr>
        <w:kinsoku/>
        <w:wordWrap/>
        <w:topLinePunct w:val="0"/>
        <w:bidi w:val="0"/>
        <w:snapToGrid w:val="0"/>
        <w:spacing w:before="137" w:beforeLines="50" w:after="120" w:afterLines="50"/>
        <w:ind w:left="420" w:leftChars="0" w:hanging="420" w:firstLineChars="0"/>
        <w:rPr>
          <w:rFonts w:hint="eastAsia" w:cs="Times New Roman"/>
          <w:b/>
          <w:bCs/>
          <w:i/>
          <w:iCs/>
          <w:sz w:val="20"/>
          <w:szCs w:val="20"/>
          <w:lang w:val="en-US" w:eastAsia="zh-CN"/>
        </w:rPr>
      </w:pPr>
      <w:r>
        <w:rPr>
          <w:rFonts w:hint="eastAsia" w:cs="Times New Roman"/>
          <w:b/>
          <w:bCs/>
          <w:i/>
          <w:iCs/>
          <w:sz w:val="20"/>
          <w:szCs w:val="20"/>
          <w:lang w:val="en-US" w:eastAsia="zh-CN"/>
        </w:rPr>
        <w:t>Except P-MPR, duty cycle scheme is applied to the band combination including pure TDD bands, i.e. TDD+TDD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iCs/>
          <w:sz w:val="20"/>
          <w:szCs w:val="20"/>
          <w:lang w:val="en-US" w:eastAsia="zh-CN"/>
        </w:rPr>
      </w:pPr>
      <w:r>
        <w:rPr>
          <w:rFonts w:hint="eastAsia" w:cs="Times New Roman"/>
          <w:b/>
          <w:bCs/>
          <w:i/>
          <w:iCs/>
          <w:sz w:val="20"/>
          <w:szCs w:val="20"/>
          <w:lang w:val="en-US" w:eastAsia="zh-CN"/>
        </w:rPr>
        <w:t>Proposal 2: 3UL CC of CA_nXA-nY(2A) should be excluded from 3Tx scenario.</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en-GB"/>
        </w:rPr>
      </w:pPr>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"http://10.10.10.10/ftp/RAN/RAN4/Inbox/R4-2410750.zip" </w:instrText>
      </w:r>
      <w:r>
        <w:rPr>
          <w:rFonts w:hint="eastAsia"/>
          <w:sz w:val="20"/>
          <w:szCs w:val="20"/>
          <w:lang w:val="en-US" w:eastAsia="zh-CN"/>
        </w:rPr>
        <w:fldChar w:fldCharType="separate"/>
      </w:r>
      <w:r>
        <w:rPr>
          <w:rFonts w:hint="eastAsia"/>
          <w:sz w:val="20"/>
          <w:szCs w:val="20"/>
          <w:lang w:val="en-US" w:eastAsia="en-GB"/>
        </w:rPr>
        <w:t>R4-2410750</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high power UE</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[2] </w:t>
      </w:r>
      <w:r>
        <w:rPr>
          <w:rFonts w:hint="default"/>
          <w:sz w:val="20"/>
          <w:szCs w:val="20"/>
          <w:lang w:val="en-US" w:eastAsia="zh-CN"/>
        </w:rPr>
        <w:t>R4-2408352</w:t>
      </w:r>
      <w:r>
        <w:rPr>
          <w:rFonts w:hint="eastAsia"/>
          <w:sz w:val="20"/>
          <w:szCs w:val="20"/>
          <w:lang w:val="en-US" w:eastAsia="zh-CN"/>
        </w:rPr>
        <w:t xml:space="preserve">, </w:t>
      </w:r>
      <w:r>
        <w:rPr>
          <w:rFonts w:hint="default"/>
          <w:sz w:val="20"/>
          <w:szCs w:val="20"/>
          <w:lang w:val="en-US" w:eastAsia="zh-CN"/>
        </w:rPr>
        <w:t xml:space="preserve">On R19 HUPE </w:t>
      </w:r>
      <w:r>
        <w:rPr>
          <w:rFonts w:hint="eastAsia"/>
          <w:sz w:val="20"/>
          <w:szCs w:val="20"/>
          <w:lang w:val="en-US" w:eastAsia="zh-CN"/>
        </w:rPr>
        <w:t xml:space="preserve">2Tx/3Tx </w:t>
      </w:r>
      <w:r>
        <w:rPr>
          <w:rFonts w:hint="default"/>
          <w:sz w:val="20"/>
          <w:szCs w:val="20"/>
          <w:lang w:val="en-US" w:eastAsia="zh-CN"/>
        </w:rPr>
        <w:t>Inter-band NR CA</w:t>
      </w:r>
      <w:r>
        <w:rPr>
          <w:rFonts w:hint="eastAsia"/>
          <w:sz w:val="20"/>
          <w:szCs w:val="20"/>
          <w:lang w:val="en-US" w:eastAsia="zh-CN"/>
        </w:rPr>
        <w:t>/</w:t>
      </w:r>
      <w:r>
        <w:rPr>
          <w:rFonts w:hint="default"/>
          <w:sz w:val="20"/>
          <w:szCs w:val="20"/>
          <w:lang w:val="en-US" w:eastAsia="zh-CN"/>
        </w:rPr>
        <w:t>ENDC</w:t>
      </w:r>
      <w:r>
        <w:rPr>
          <w:rFonts w:hint="eastAsia"/>
          <w:sz w:val="20"/>
          <w:szCs w:val="20"/>
          <w:lang w:val="en-US" w:eastAsia="zh-CN"/>
        </w:rPr>
        <w:t>, ZTE Corporation</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[3] </w:t>
      </w:r>
      <w:r>
        <w:rPr>
          <w:rFonts w:hint="eastAsia"/>
          <w:sz w:val="20"/>
          <w:szCs w:val="20"/>
          <w:lang w:val="en-US" w:eastAsia="en-GB"/>
        </w:rPr>
        <w:fldChar w:fldCharType="begin"/>
      </w:r>
      <w:r>
        <w:rPr>
          <w:rFonts w:hint="eastAsia"/>
          <w:sz w:val="20"/>
          <w:szCs w:val="20"/>
          <w:lang w:val="en-US" w:eastAsia="en-GB"/>
        </w:rPr>
        <w:instrText xml:space="preserve"> HYPERLINK "file:///D:\\RAN4%23111\\Docs\\R4-2408936.zip" </w:instrText>
      </w:r>
      <w:r>
        <w:rPr>
          <w:rFonts w:hint="eastAsia"/>
          <w:sz w:val="20"/>
          <w:szCs w:val="20"/>
          <w:lang w:val="en-US" w:eastAsia="en-GB"/>
        </w:rPr>
        <w:fldChar w:fldCharType="separate"/>
      </w:r>
      <w:r>
        <w:rPr>
          <w:rFonts w:hint="eastAsia"/>
          <w:sz w:val="20"/>
          <w:szCs w:val="20"/>
          <w:lang w:val="en-US" w:eastAsia="en-GB"/>
        </w:rPr>
        <w:t>R4-2408936</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Topic summary for [111][125] NR_ENDC_RF_Ph4_part2</w:t>
      </w:r>
      <w:r>
        <w:rPr>
          <w:rFonts w:hint="eastAsia"/>
          <w:sz w:val="20"/>
          <w:szCs w:val="20"/>
          <w:lang w:val="en-US" w:eastAsia="zh-CN"/>
        </w:rPr>
        <w:t xml:space="preserve">, </w:t>
      </w:r>
      <w:r>
        <w:rPr>
          <w:rFonts w:hint="eastAsia"/>
          <w:sz w:val="20"/>
          <w:szCs w:val="20"/>
          <w:lang w:val="en-US" w:eastAsia="en-GB"/>
        </w:rPr>
        <w:t>Samsung</w:t>
      </w:r>
      <w:r>
        <w:rPr>
          <w:rFonts w:hint="eastAsia"/>
          <w:sz w:val="20"/>
          <w:szCs w:val="20"/>
          <w:lang w:val="en-US" w:eastAsia="zh-CN"/>
        </w:rPr>
        <w:t>(Moderator)</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[4] </w:t>
      </w:r>
      <w:r>
        <w:rPr>
          <w:rFonts w:hint="default"/>
          <w:sz w:val="20"/>
          <w:szCs w:val="20"/>
          <w:lang w:val="en-US" w:eastAsia="zh-CN"/>
        </w:rPr>
        <w:t>RP-241678</w:t>
      </w:r>
      <w:r>
        <w:rPr>
          <w:rFonts w:hint="eastAsia"/>
          <w:sz w:val="20"/>
          <w:szCs w:val="20"/>
          <w:lang w:val="en-US" w:eastAsia="zh-CN"/>
        </w:rPr>
        <w:t xml:space="preserve">, </w:t>
      </w:r>
      <w:r>
        <w:rPr>
          <w:rFonts w:hint="default"/>
          <w:sz w:val="20"/>
          <w:szCs w:val="20"/>
          <w:lang w:val="en-US" w:eastAsia="zh-CN"/>
        </w:rPr>
        <w:t>New WID: Rel-19 High power UE (power class 1.5 or 2) for Dual Connectivity (DC) combinations of LTE band(s) and NR band(s)</w:t>
      </w:r>
      <w:r>
        <w:rPr>
          <w:rFonts w:hint="eastAsia"/>
          <w:sz w:val="20"/>
          <w:szCs w:val="20"/>
          <w:lang w:val="en-US" w:eastAsia="zh-CN"/>
        </w:rPr>
        <w:t xml:space="preserve"> </w:t>
      </w:r>
      <w:r>
        <w:rPr>
          <w:rFonts w:hint="default"/>
          <w:sz w:val="20"/>
          <w:szCs w:val="20"/>
          <w:lang w:val="en-US" w:eastAsia="zh-CN"/>
        </w:rPr>
        <w:t>RAN4 vice-chair (China Telecom)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[5] </w:t>
      </w:r>
      <w:r>
        <w:rPr>
          <w:rFonts w:hint="default"/>
          <w:sz w:val="20"/>
          <w:szCs w:val="20"/>
          <w:lang w:val="en-US" w:eastAsia="zh-CN"/>
        </w:rPr>
        <w:t>RP-241679</w:t>
      </w:r>
      <w:r>
        <w:rPr>
          <w:rFonts w:hint="eastAsia"/>
          <w:sz w:val="20"/>
          <w:szCs w:val="20"/>
          <w:lang w:val="en-US" w:eastAsia="zh-CN"/>
        </w:rPr>
        <w:t xml:space="preserve">, </w:t>
      </w:r>
      <w:r>
        <w:rPr>
          <w:rFonts w:hint="default"/>
          <w:sz w:val="20"/>
          <w:szCs w:val="20"/>
          <w:lang w:val="en-US" w:eastAsia="zh-CN"/>
        </w:rPr>
        <w:t>New WID: Rel-19 High power UE (power class 1.5 or 2) for NR intra-band Carrier Aggregation (CA) or NR inter-band CA/Dual connectivity (DC) band combinations with/without NR SUL (supplementary uplink)</w:t>
      </w:r>
      <w:r>
        <w:rPr>
          <w:rFonts w:hint="eastAsia"/>
          <w:sz w:val="20"/>
          <w:szCs w:val="20"/>
          <w:lang w:val="en-US" w:eastAsia="zh-CN"/>
        </w:rPr>
        <w:t xml:space="preserve">, </w:t>
      </w:r>
      <w:r>
        <w:rPr>
          <w:rFonts w:hint="default"/>
          <w:sz w:val="20"/>
          <w:szCs w:val="20"/>
          <w:lang w:val="en-US" w:eastAsia="zh-CN"/>
        </w:rPr>
        <w:t>RAN4 vice-chair (China Telecom)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[6]R4-2410652, WF on two band DL band combination template,ZTE Corporation,</w:t>
      </w:r>
      <w:r>
        <w:rPr>
          <w:rFonts w:hint="eastAsia"/>
          <w:sz w:val="20"/>
          <w:szCs w:val="20"/>
          <w:lang w:val="en-US" w:eastAsia="en-GB"/>
        </w:rPr>
        <w:t xml:space="preserve"> Skyworks, Nokia, Huawei, HiSilicon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DAB185"/>
    <w:multiLevelType w:val="singleLevel"/>
    <w:tmpl w:val="96DAB185"/>
    <w:lvl w:ilvl="0" w:tentative="0">
      <w:start w:val="1"/>
      <w:numFmt w:val="bullet"/>
      <w:lvlText w:val="-"/>
      <w:lvlJc w:val="left"/>
      <w:pPr>
        <w:ind w:left="420" w:leftChars="0" w:hanging="420" w:firstLineChars="0"/>
      </w:pPr>
      <w:rPr>
        <w:rFonts w:hint="default" w:ascii="Arial" w:hAnsi="Arial" w:cs="Arial"/>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3BDF0ED7"/>
    <w:multiLevelType w:val="multilevel"/>
    <w:tmpl w:val="3BDF0ED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7C396760"/>
    <w:multiLevelType w:val="multilevel"/>
    <w:tmpl w:val="7C396760"/>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Wingdings" w:hAnsi="Wingding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3"/>
  </w:num>
  <w:num w:numId="2">
    <w:abstractNumId w:val="8"/>
  </w:num>
  <w:num w:numId="3">
    <w:abstractNumId w:val="4"/>
  </w:num>
  <w:num w:numId="4">
    <w:abstractNumId w:val="5"/>
  </w:num>
  <w:num w:numId="5">
    <w:abstractNumId w:val="2"/>
  </w:num>
  <w:num w:numId="6">
    <w:abstractNumId w:val="1"/>
  </w:num>
  <w:num w:numId="7">
    <w:abstractNumId w:val="7"/>
  </w:num>
  <w:num w:numId="8">
    <w:abstractNumId w:val="9"/>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43372"/>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5D71"/>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A4F0D"/>
    <w:rsid w:val="01101B26"/>
    <w:rsid w:val="0117001C"/>
    <w:rsid w:val="011A0B49"/>
    <w:rsid w:val="012845F2"/>
    <w:rsid w:val="0129526D"/>
    <w:rsid w:val="013533A9"/>
    <w:rsid w:val="014A0623"/>
    <w:rsid w:val="014C6B63"/>
    <w:rsid w:val="015315DC"/>
    <w:rsid w:val="01536583"/>
    <w:rsid w:val="01764F01"/>
    <w:rsid w:val="01795BD9"/>
    <w:rsid w:val="018107C9"/>
    <w:rsid w:val="01815F85"/>
    <w:rsid w:val="01837FEF"/>
    <w:rsid w:val="01854FE9"/>
    <w:rsid w:val="018E207B"/>
    <w:rsid w:val="0190283E"/>
    <w:rsid w:val="019B32C6"/>
    <w:rsid w:val="019D155B"/>
    <w:rsid w:val="01A428BB"/>
    <w:rsid w:val="01A63CD7"/>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D4A6E"/>
    <w:rsid w:val="023B0A39"/>
    <w:rsid w:val="023C78A7"/>
    <w:rsid w:val="0241726A"/>
    <w:rsid w:val="02444B7E"/>
    <w:rsid w:val="024A5964"/>
    <w:rsid w:val="024B023C"/>
    <w:rsid w:val="024D6B6A"/>
    <w:rsid w:val="024F6C8C"/>
    <w:rsid w:val="02504E6F"/>
    <w:rsid w:val="02510B5E"/>
    <w:rsid w:val="02566C17"/>
    <w:rsid w:val="02655431"/>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B22D9F"/>
    <w:rsid w:val="02B31741"/>
    <w:rsid w:val="02D16C80"/>
    <w:rsid w:val="02D72D0B"/>
    <w:rsid w:val="02DC3F9C"/>
    <w:rsid w:val="02E14F55"/>
    <w:rsid w:val="02F900F0"/>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5723B6"/>
    <w:rsid w:val="03620451"/>
    <w:rsid w:val="03642E26"/>
    <w:rsid w:val="036E37C2"/>
    <w:rsid w:val="03746F87"/>
    <w:rsid w:val="03780D14"/>
    <w:rsid w:val="037828CA"/>
    <w:rsid w:val="03814F5B"/>
    <w:rsid w:val="038B3141"/>
    <w:rsid w:val="03970C22"/>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3F74790"/>
    <w:rsid w:val="04006F66"/>
    <w:rsid w:val="04030035"/>
    <w:rsid w:val="040D0B7F"/>
    <w:rsid w:val="040F0942"/>
    <w:rsid w:val="04137662"/>
    <w:rsid w:val="04251A4C"/>
    <w:rsid w:val="042D2E97"/>
    <w:rsid w:val="04305EA0"/>
    <w:rsid w:val="04310833"/>
    <w:rsid w:val="04343921"/>
    <w:rsid w:val="043445F5"/>
    <w:rsid w:val="043865BF"/>
    <w:rsid w:val="04394230"/>
    <w:rsid w:val="043A14AD"/>
    <w:rsid w:val="04477A12"/>
    <w:rsid w:val="044C78D8"/>
    <w:rsid w:val="044F4B2D"/>
    <w:rsid w:val="04537B11"/>
    <w:rsid w:val="04684A28"/>
    <w:rsid w:val="046C0EAE"/>
    <w:rsid w:val="04782230"/>
    <w:rsid w:val="0479507E"/>
    <w:rsid w:val="04894975"/>
    <w:rsid w:val="04964902"/>
    <w:rsid w:val="049973F4"/>
    <w:rsid w:val="04A65723"/>
    <w:rsid w:val="04AB3262"/>
    <w:rsid w:val="04AC0BD2"/>
    <w:rsid w:val="04AC61EE"/>
    <w:rsid w:val="04B14B03"/>
    <w:rsid w:val="04B15E44"/>
    <w:rsid w:val="04C509AD"/>
    <w:rsid w:val="04CC51EB"/>
    <w:rsid w:val="04D76DDC"/>
    <w:rsid w:val="04DA1A87"/>
    <w:rsid w:val="04DD0A04"/>
    <w:rsid w:val="04DE2DA3"/>
    <w:rsid w:val="04E65EC1"/>
    <w:rsid w:val="04EB6DF8"/>
    <w:rsid w:val="04F274F3"/>
    <w:rsid w:val="04FE0DF4"/>
    <w:rsid w:val="04FF1C94"/>
    <w:rsid w:val="04FF7D5A"/>
    <w:rsid w:val="0502349F"/>
    <w:rsid w:val="05061BBF"/>
    <w:rsid w:val="050E7487"/>
    <w:rsid w:val="05161D2D"/>
    <w:rsid w:val="0522500E"/>
    <w:rsid w:val="052E568F"/>
    <w:rsid w:val="05361FE8"/>
    <w:rsid w:val="0537511C"/>
    <w:rsid w:val="053973F0"/>
    <w:rsid w:val="053E65E7"/>
    <w:rsid w:val="05406632"/>
    <w:rsid w:val="05437A57"/>
    <w:rsid w:val="054E2A6F"/>
    <w:rsid w:val="0555228E"/>
    <w:rsid w:val="056501EA"/>
    <w:rsid w:val="056C1D73"/>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16B87"/>
    <w:rsid w:val="06B741D9"/>
    <w:rsid w:val="06C457B6"/>
    <w:rsid w:val="06CD4A70"/>
    <w:rsid w:val="06D118A6"/>
    <w:rsid w:val="06DF4C13"/>
    <w:rsid w:val="06E34232"/>
    <w:rsid w:val="06E7678C"/>
    <w:rsid w:val="06F13CA3"/>
    <w:rsid w:val="06F14C51"/>
    <w:rsid w:val="06F42A88"/>
    <w:rsid w:val="06F801C0"/>
    <w:rsid w:val="070E5EE2"/>
    <w:rsid w:val="07105178"/>
    <w:rsid w:val="0712124C"/>
    <w:rsid w:val="071259C9"/>
    <w:rsid w:val="071426A5"/>
    <w:rsid w:val="071614A3"/>
    <w:rsid w:val="071A1AB9"/>
    <w:rsid w:val="071C13A8"/>
    <w:rsid w:val="07330445"/>
    <w:rsid w:val="073D143C"/>
    <w:rsid w:val="073E1A3D"/>
    <w:rsid w:val="0747308D"/>
    <w:rsid w:val="074855FD"/>
    <w:rsid w:val="07541C13"/>
    <w:rsid w:val="07627CA0"/>
    <w:rsid w:val="076319C4"/>
    <w:rsid w:val="076925D2"/>
    <w:rsid w:val="077241E3"/>
    <w:rsid w:val="07731BAD"/>
    <w:rsid w:val="0776564B"/>
    <w:rsid w:val="07787303"/>
    <w:rsid w:val="07883367"/>
    <w:rsid w:val="078C5933"/>
    <w:rsid w:val="078D336C"/>
    <w:rsid w:val="0792420A"/>
    <w:rsid w:val="07971B3F"/>
    <w:rsid w:val="07983294"/>
    <w:rsid w:val="079F1838"/>
    <w:rsid w:val="07A2030D"/>
    <w:rsid w:val="07A5677E"/>
    <w:rsid w:val="07AE63FF"/>
    <w:rsid w:val="07B51934"/>
    <w:rsid w:val="07B9290D"/>
    <w:rsid w:val="07BE52B9"/>
    <w:rsid w:val="07BF7CC6"/>
    <w:rsid w:val="07C55A1A"/>
    <w:rsid w:val="07D26643"/>
    <w:rsid w:val="07D57946"/>
    <w:rsid w:val="07E2277C"/>
    <w:rsid w:val="07E6675C"/>
    <w:rsid w:val="07ED524D"/>
    <w:rsid w:val="07FC1127"/>
    <w:rsid w:val="080124E3"/>
    <w:rsid w:val="080B341D"/>
    <w:rsid w:val="080C7FA0"/>
    <w:rsid w:val="08120068"/>
    <w:rsid w:val="08162951"/>
    <w:rsid w:val="08193C24"/>
    <w:rsid w:val="081D5D0E"/>
    <w:rsid w:val="082E1CC1"/>
    <w:rsid w:val="08341060"/>
    <w:rsid w:val="083D71D5"/>
    <w:rsid w:val="085514F1"/>
    <w:rsid w:val="085A5F4A"/>
    <w:rsid w:val="08675174"/>
    <w:rsid w:val="08732D34"/>
    <w:rsid w:val="08780A72"/>
    <w:rsid w:val="08787FF0"/>
    <w:rsid w:val="08824DF0"/>
    <w:rsid w:val="0889002B"/>
    <w:rsid w:val="089B79D9"/>
    <w:rsid w:val="08A44DA6"/>
    <w:rsid w:val="08AA245A"/>
    <w:rsid w:val="08BA6E24"/>
    <w:rsid w:val="08BE33E4"/>
    <w:rsid w:val="08C024D5"/>
    <w:rsid w:val="08C3786B"/>
    <w:rsid w:val="08C562FD"/>
    <w:rsid w:val="08CA27B1"/>
    <w:rsid w:val="08D25907"/>
    <w:rsid w:val="08E916DF"/>
    <w:rsid w:val="08F3022B"/>
    <w:rsid w:val="08F473EA"/>
    <w:rsid w:val="08F815F3"/>
    <w:rsid w:val="08F96E54"/>
    <w:rsid w:val="08FC0AA5"/>
    <w:rsid w:val="090868CF"/>
    <w:rsid w:val="09167EC9"/>
    <w:rsid w:val="091C4700"/>
    <w:rsid w:val="09294EE0"/>
    <w:rsid w:val="09306537"/>
    <w:rsid w:val="09355076"/>
    <w:rsid w:val="09392119"/>
    <w:rsid w:val="093E6BA4"/>
    <w:rsid w:val="09445E95"/>
    <w:rsid w:val="09543B3B"/>
    <w:rsid w:val="09600FBD"/>
    <w:rsid w:val="0971670A"/>
    <w:rsid w:val="0972595C"/>
    <w:rsid w:val="09730E8F"/>
    <w:rsid w:val="097734F1"/>
    <w:rsid w:val="097960C6"/>
    <w:rsid w:val="097D5DA0"/>
    <w:rsid w:val="098143BC"/>
    <w:rsid w:val="09823612"/>
    <w:rsid w:val="098500F1"/>
    <w:rsid w:val="099E4326"/>
    <w:rsid w:val="09B7610E"/>
    <w:rsid w:val="09BA2382"/>
    <w:rsid w:val="09BD407A"/>
    <w:rsid w:val="09CD7D07"/>
    <w:rsid w:val="09DA0E26"/>
    <w:rsid w:val="09E55691"/>
    <w:rsid w:val="09EA29E1"/>
    <w:rsid w:val="09EB2B51"/>
    <w:rsid w:val="09EF75D1"/>
    <w:rsid w:val="09F43460"/>
    <w:rsid w:val="09F67CD5"/>
    <w:rsid w:val="0A054821"/>
    <w:rsid w:val="0A0835C8"/>
    <w:rsid w:val="0A145721"/>
    <w:rsid w:val="0A2512D1"/>
    <w:rsid w:val="0A2C297E"/>
    <w:rsid w:val="0A307C92"/>
    <w:rsid w:val="0A355EAA"/>
    <w:rsid w:val="0A3708FF"/>
    <w:rsid w:val="0A3B01F9"/>
    <w:rsid w:val="0A3C2CA2"/>
    <w:rsid w:val="0A3F0488"/>
    <w:rsid w:val="0A402A36"/>
    <w:rsid w:val="0A4236A3"/>
    <w:rsid w:val="0A49096C"/>
    <w:rsid w:val="0A4E7EF5"/>
    <w:rsid w:val="0A646846"/>
    <w:rsid w:val="0A76304F"/>
    <w:rsid w:val="0A80214B"/>
    <w:rsid w:val="0A8251CA"/>
    <w:rsid w:val="0A863D2D"/>
    <w:rsid w:val="0A8828AB"/>
    <w:rsid w:val="0A895661"/>
    <w:rsid w:val="0A927DC1"/>
    <w:rsid w:val="0A9358E8"/>
    <w:rsid w:val="0A952FEA"/>
    <w:rsid w:val="0A9B4F7F"/>
    <w:rsid w:val="0A9C263A"/>
    <w:rsid w:val="0A9E3D3D"/>
    <w:rsid w:val="0AA077E0"/>
    <w:rsid w:val="0AA16D79"/>
    <w:rsid w:val="0AA557D6"/>
    <w:rsid w:val="0AA81C41"/>
    <w:rsid w:val="0AA84209"/>
    <w:rsid w:val="0ABF3E2E"/>
    <w:rsid w:val="0AC01F88"/>
    <w:rsid w:val="0AC0212C"/>
    <w:rsid w:val="0AC55D37"/>
    <w:rsid w:val="0AC81C45"/>
    <w:rsid w:val="0AD542C1"/>
    <w:rsid w:val="0ADD5A20"/>
    <w:rsid w:val="0ADF65DA"/>
    <w:rsid w:val="0AE10FD9"/>
    <w:rsid w:val="0AE84FF2"/>
    <w:rsid w:val="0AF13898"/>
    <w:rsid w:val="0AFB3228"/>
    <w:rsid w:val="0AFC6C07"/>
    <w:rsid w:val="0B0250FD"/>
    <w:rsid w:val="0B0F025C"/>
    <w:rsid w:val="0B1A6333"/>
    <w:rsid w:val="0B1C6746"/>
    <w:rsid w:val="0B2713F4"/>
    <w:rsid w:val="0B2E7CE5"/>
    <w:rsid w:val="0B340CE1"/>
    <w:rsid w:val="0B3D701F"/>
    <w:rsid w:val="0B3E7DD7"/>
    <w:rsid w:val="0B4137A0"/>
    <w:rsid w:val="0B481192"/>
    <w:rsid w:val="0B494066"/>
    <w:rsid w:val="0B4D4BB3"/>
    <w:rsid w:val="0B4F7F8D"/>
    <w:rsid w:val="0B561995"/>
    <w:rsid w:val="0B5C2C2A"/>
    <w:rsid w:val="0B612385"/>
    <w:rsid w:val="0B665E0A"/>
    <w:rsid w:val="0B796FFB"/>
    <w:rsid w:val="0B847B39"/>
    <w:rsid w:val="0B902D5E"/>
    <w:rsid w:val="0B987E20"/>
    <w:rsid w:val="0B9C06D5"/>
    <w:rsid w:val="0B9E71DF"/>
    <w:rsid w:val="0BAC6FB9"/>
    <w:rsid w:val="0BAD5CC5"/>
    <w:rsid w:val="0BAD5EDC"/>
    <w:rsid w:val="0BAF59B9"/>
    <w:rsid w:val="0BB524B8"/>
    <w:rsid w:val="0BB756DF"/>
    <w:rsid w:val="0BC63DB2"/>
    <w:rsid w:val="0BCB1EC4"/>
    <w:rsid w:val="0BCC4043"/>
    <w:rsid w:val="0BCC4B6A"/>
    <w:rsid w:val="0BD23AC3"/>
    <w:rsid w:val="0BDE3FD8"/>
    <w:rsid w:val="0C064507"/>
    <w:rsid w:val="0C1E494F"/>
    <w:rsid w:val="0C3427D0"/>
    <w:rsid w:val="0C43327D"/>
    <w:rsid w:val="0C4426AF"/>
    <w:rsid w:val="0C4577EC"/>
    <w:rsid w:val="0C4F7881"/>
    <w:rsid w:val="0C5C6396"/>
    <w:rsid w:val="0C620B8D"/>
    <w:rsid w:val="0C63431B"/>
    <w:rsid w:val="0C650A20"/>
    <w:rsid w:val="0C690EFA"/>
    <w:rsid w:val="0C6E11B8"/>
    <w:rsid w:val="0C723CD1"/>
    <w:rsid w:val="0C7C40BF"/>
    <w:rsid w:val="0C8005ED"/>
    <w:rsid w:val="0C814739"/>
    <w:rsid w:val="0C8601BF"/>
    <w:rsid w:val="0C863429"/>
    <w:rsid w:val="0C8B63A3"/>
    <w:rsid w:val="0C9F6AEC"/>
    <w:rsid w:val="0CB94808"/>
    <w:rsid w:val="0CC11AEF"/>
    <w:rsid w:val="0CC37BC2"/>
    <w:rsid w:val="0CCB7A8E"/>
    <w:rsid w:val="0CD87ABE"/>
    <w:rsid w:val="0CD90733"/>
    <w:rsid w:val="0CE26C42"/>
    <w:rsid w:val="0CE632FF"/>
    <w:rsid w:val="0CE76B48"/>
    <w:rsid w:val="0CEB5DBE"/>
    <w:rsid w:val="0CEE5402"/>
    <w:rsid w:val="0CF6484A"/>
    <w:rsid w:val="0CFB523A"/>
    <w:rsid w:val="0CFC15F0"/>
    <w:rsid w:val="0D0227BA"/>
    <w:rsid w:val="0D1B1E9C"/>
    <w:rsid w:val="0D2716E6"/>
    <w:rsid w:val="0D3226D5"/>
    <w:rsid w:val="0D3600BA"/>
    <w:rsid w:val="0D4B44A1"/>
    <w:rsid w:val="0D6468BA"/>
    <w:rsid w:val="0D671DC3"/>
    <w:rsid w:val="0D6811B4"/>
    <w:rsid w:val="0D6E2620"/>
    <w:rsid w:val="0D704E21"/>
    <w:rsid w:val="0D7A2BC8"/>
    <w:rsid w:val="0D7F48FE"/>
    <w:rsid w:val="0D8235DB"/>
    <w:rsid w:val="0D883C88"/>
    <w:rsid w:val="0D936E72"/>
    <w:rsid w:val="0D966BF7"/>
    <w:rsid w:val="0D9B5860"/>
    <w:rsid w:val="0DAA3F6B"/>
    <w:rsid w:val="0DB84E5F"/>
    <w:rsid w:val="0DB94E10"/>
    <w:rsid w:val="0DCC3AE8"/>
    <w:rsid w:val="0DD87842"/>
    <w:rsid w:val="0DE35C55"/>
    <w:rsid w:val="0DF202E1"/>
    <w:rsid w:val="0DF53CE3"/>
    <w:rsid w:val="0E0961C5"/>
    <w:rsid w:val="0E147898"/>
    <w:rsid w:val="0E172797"/>
    <w:rsid w:val="0E183199"/>
    <w:rsid w:val="0E1F3602"/>
    <w:rsid w:val="0E2A7688"/>
    <w:rsid w:val="0E2F216B"/>
    <w:rsid w:val="0E3352C6"/>
    <w:rsid w:val="0E3A5EE2"/>
    <w:rsid w:val="0E542F3B"/>
    <w:rsid w:val="0E6271C6"/>
    <w:rsid w:val="0E6271DF"/>
    <w:rsid w:val="0E655A78"/>
    <w:rsid w:val="0E681731"/>
    <w:rsid w:val="0E6B438E"/>
    <w:rsid w:val="0E6C5EC6"/>
    <w:rsid w:val="0E7071B5"/>
    <w:rsid w:val="0E81568A"/>
    <w:rsid w:val="0E915D5C"/>
    <w:rsid w:val="0E924723"/>
    <w:rsid w:val="0E942250"/>
    <w:rsid w:val="0E963344"/>
    <w:rsid w:val="0E9E6E00"/>
    <w:rsid w:val="0EA40C1C"/>
    <w:rsid w:val="0EB72E4B"/>
    <w:rsid w:val="0EB91987"/>
    <w:rsid w:val="0ED07B90"/>
    <w:rsid w:val="0EDA2BCA"/>
    <w:rsid w:val="0EDF6173"/>
    <w:rsid w:val="0EEC6F1D"/>
    <w:rsid w:val="0EF00D65"/>
    <w:rsid w:val="0EF33893"/>
    <w:rsid w:val="0EFB6721"/>
    <w:rsid w:val="0EFF5127"/>
    <w:rsid w:val="0F054463"/>
    <w:rsid w:val="0F103291"/>
    <w:rsid w:val="0F1D498B"/>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855338"/>
    <w:rsid w:val="0F957B47"/>
    <w:rsid w:val="0F98796C"/>
    <w:rsid w:val="0F9F6FA4"/>
    <w:rsid w:val="0FA65D5C"/>
    <w:rsid w:val="0FA83295"/>
    <w:rsid w:val="0FAD33DA"/>
    <w:rsid w:val="0FBE2A42"/>
    <w:rsid w:val="0FBF1587"/>
    <w:rsid w:val="0FC17CCE"/>
    <w:rsid w:val="0FC424B9"/>
    <w:rsid w:val="0FD70565"/>
    <w:rsid w:val="0FDF162E"/>
    <w:rsid w:val="0FEA050A"/>
    <w:rsid w:val="0FEC680C"/>
    <w:rsid w:val="0FEE2832"/>
    <w:rsid w:val="0FF83B33"/>
    <w:rsid w:val="0FFD6402"/>
    <w:rsid w:val="10007AD6"/>
    <w:rsid w:val="10016174"/>
    <w:rsid w:val="100D3E09"/>
    <w:rsid w:val="101B1E8A"/>
    <w:rsid w:val="101C4A03"/>
    <w:rsid w:val="101D0C86"/>
    <w:rsid w:val="10325332"/>
    <w:rsid w:val="10386626"/>
    <w:rsid w:val="103B2931"/>
    <w:rsid w:val="104A023B"/>
    <w:rsid w:val="10505F3B"/>
    <w:rsid w:val="105F56AF"/>
    <w:rsid w:val="106D2686"/>
    <w:rsid w:val="10702192"/>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084B"/>
    <w:rsid w:val="10E746EA"/>
    <w:rsid w:val="10E83FE0"/>
    <w:rsid w:val="10EC3168"/>
    <w:rsid w:val="10EC5C55"/>
    <w:rsid w:val="10F24E5D"/>
    <w:rsid w:val="10F52718"/>
    <w:rsid w:val="11173599"/>
    <w:rsid w:val="112E2D86"/>
    <w:rsid w:val="11301133"/>
    <w:rsid w:val="113457E2"/>
    <w:rsid w:val="11366DAC"/>
    <w:rsid w:val="11376E36"/>
    <w:rsid w:val="114028DC"/>
    <w:rsid w:val="114D3A73"/>
    <w:rsid w:val="116F1EB0"/>
    <w:rsid w:val="117B1D6A"/>
    <w:rsid w:val="117C2D9D"/>
    <w:rsid w:val="117F159E"/>
    <w:rsid w:val="11821DC9"/>
    <w:rsid w:val="11921373"/>
    <w:rsid w:val="11945405"/>
    <w:rsid w:val="119D7849"/>
    <w:rsid w:val="11A615EE"/>
    <w:rsid w:val="11A658F4"/>
    <w:rsid w:val="11B90BA4"/>
    <w:rsid w:val="11B91A57"/>
    <w:rsid w:val="11C427F5"/>
    <w:rsid w:val="11C67B8F"/>
    <w:rsid w:val="11CA11D0"/>
    <w:rsid w:val="11CE730E"/>
    <w:rsid w:val="11D658B4"/>
    <w:rsid w:val="11D815C4"/>
    <w:rsid w:val="11D910AD"/>
    <w:rsid w:val="11E55FA1"/>
    <w:rsid w:val="11E57D4F"/>
    <w:rsid w:val="11ED5EAE"/>
    <w:rsid w:val="11EE6703"/>
    <w:rsid w:val="11F62C9D"/>
    <w:rsid w:val="11F67383"/>
    <w:rsid w:val="11F92DAB"/>
    <w:rsid w:val="11FC38D5"/>
    <w:rsid w:val="11FE0013"/>
    <w:rsid w:val="1210682D"/>
    <w:rsid w:val="12162A85"/>
    <w:rsid w:val="121A40C0"/>
    <w:rsid w:val="123332A6"/>
    <w:rsid w:val="12384D02"/>
    <w:rsid w:val="123A05DB"/>
    <w:rsid w:val="124240B9"/>
    <w:rsid w:val="124D0988"/>
    <w:rsid w:val="124D0CC1"/>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261A4"/>
    <w:rsid w:val="12C30189"/>
    <w:rsid w:val="12C7312B"/>
    <w:rsid w:val="12D22971"/>
    <w:rsid w:val="12D85654"/>
    <w:rsid w:val="12DF4A87"/>
    <w:rsid w:val="12EE5106"/>
    <w:rsid w:val="12EE67A1"/>
    <w:rsid w:val="13032678"/>
    <w:rsid w:val="1307341C"/>
    <w:rsid w:val="130C40FE"/>
    <w:rsid w:val="130E3629"/>
    <w:rsid w:val="1317163A"/>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872938"/>
    <w:rsid w:val="13903FD0"/>
    <w:rsid w:val="139D3156"/>
    <w:rsid w:val="13A9004F"/>
    <w:rsid w:val="13A938D2"/>
    <w:rsid w:val="13AA5FA1"/>
    <w:rsid w:val="13AF2BDE"/>
    <w:rsid w:val="13BB0DD4"/>
    <w:rsid w:val="13C20262"/>
    <w:rsid w:val="13CE7C74"/>
    <w:rsid w:val="13D024B3"/>
    <w:rsid w:val="13D115EF"/>
    <w:rsid w:val="13D86A45"/>
    <w:rsid w:val="13D92D9C"/>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A4557"/>
    <w:rsid w:val="142C143A"/>
    <w:rsid w:val="142E1345"/>
    <w:rsid w:val="14345A34"/>
    <w:rsid w:val="143533EF"/>
    <w:rsid w:val="14367BDC"/>
    <w:rsid w:val="143F5FC4"/>
    <w:rsid w:val="145103FA"/>
    <w:rsid w:val="14512FC4"/>
    <w:rsid w:val="145F07C7"/>
    <w:rsid w:val="146B69A8"/>
    <w:rsid w:val="146C5189"/>
    <w:rsid w:val="146F1089"/>
    <w:rsid w:val="14785B68"/>
    <w:rsid w:val="147F207F"/>
    <w:rsid w:val="14816B50"/>
    <w:rsid w:val="148313F4"/>
    <w:rsid w:val="148F2964"/>
    <w:rsid w:val="14912D9C"/>
    <w:rsid w:val="1492525D"/>
    <w:rsid w:val="14934F1A"/>
    <w:rsid w:val="149559C4"/>
    <w:rsid w:val="149E117F"/>
    <w:rsid w:val="14AC0C32"/>
    <w:rsid w:val="14C45576"/>
    <w:rsid w:val="14C76D6C"/>
    <w:rsid w:val="14CB0971"/>
    <w:rsid w:val="14CB7E6E"/>
    <w:rsid w:val="14CE33C4"/>
    <w:rsid w:val="14DA3DA1"/>
    <w:rsid w:val="14E60B42"/>
    <w:rsid w:val="14EA1C4D"/>
    <w:rsid w:val="150222BF"/>
    <w:rsid w:val="15075355"/>
    <w:rsid w:val="150F7C33"/>
    <w:rsid w:val="1515004B"/>
    <w:rsid w:val="151B7C99"/>
    <w:rsid w:val="15207BBA"/>
    <w:rsid w:val="15240720"/>
    <w:rsid w:val="15276623"/>
    <w:rsid w:val="152F4E1B"/>
    <w:rsid w:val="153817CF"/>
    <w:rsid w:val="15425F26"/>
    <w:rsid w:val="15436E45"/>
    <w:rsid w:val="154D342A"/>
    <w:rsid w:val="1559587F"/>
    <w:rsid w:val="155D577C"/>
    <w:rsid w:val="156926DF"/>
    <w:rsid w:val="1574662E"/>
    <w:rsid w:val="15751882"/>
    <w:rsid w:val="1575191B"/>
    <w:rsid w:val="157818C6"/>
    <w:rsid w:val="158D108E"/>
    <w:rsid w:val="158D195D"/>
    <w:rsid w:val="159468F5"/>
    <w:rsid w:val="159F73BB"/>
    <w:rsid w:val="15B03F28"/>
    <w:rsid w:val="15BD66BF"/>
    <w:rsid w:val="15BE2FC0"/>
    <w:rsid w:val="15C526A4"/>
    <w:rsid w:val="15C95B15"/>
    <w:rsid w:val="15DC75CF"/>
    <w:rsid w:val="15E30A80"/>
    <w:rsid w:val="15E310C1"/>
    <w:rsid w:val="15FB16C4"/>
    <w:rsid w:val="15FF3F0D"/>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733F"/>
    <w:rsid w:val="16AE2FE3"/>
    <w:rsid w:val="16B23908"/>
    <w:rsid w:val="16B4400E"/>
    <w:rsid w:val="16B540F1"/>
    <w:rsid w:val="16BB7EC5"/>
    <w:rsid w:val="16C71372"/>
    <w:rsid w:val="16C739DF"/>
    <w:rsid w:val="16C86CDB"/>
    <w:rsid w:val="16D20141"/>
    <w:rsid w:val="16DD3B26"/>
    <w:rsid w:val="16EB6E00"/>
    <w:rsid w:val="16EE7649"/>
    <w:rsid w:val="16F04615"/>
    <w:rsid w:val="16F55F75"/>
    <w:rsid w:val="16FD2447"/>
    <w:rsid w:val="17081A43"/>
    <w:rsid w:val="17093BD1"/>
    <w:rsid w:val="170B631B"/>
    <w:rsid w:val="1712339A"/>
    <w:rsid w:val="171B1C8E"/>
    <w:rsid w:val="171E63FC"/>
    <w:rsid w:val="172244D9"/>
    <w:rsid w:val="1722504D"/>
    <w:rsid w:val="172C2525"/>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991F2E"/>
    <w:rsid w:val="17A875F5"/>
    <w:rsid w:val="17AB40A1"/>
    <w:rsid w:val="17AC60A9"/>
    <w:rsid w:val="17B5256D"/>
    <w:rsid w:val="17B92501"/>
    <w:rsid w:val="17CD2623"/>
    <w:rsid w:val="17D565E9"/>
    <w:rsid w:val="17D651ED"/>
    <w:rsid w:val="17E65848"/>
    <w:rsid w:val="17E66DD8"/>
    <w:rsid w:val="17E84839"/>
    <w:rsid w:val="17EE1403"/>
    <w:rsid w:val="17F25234"/>
    <w:rsid w:val="17FD061B"/>
    <w:rsid w:val="17FF6314"/>
    <w:rsid w:val="1800350F"/>
    <w:rsid w:val="18005F41"/>
    <w:rsid w:val="18025414"/>
    <w:rsid w:val="180E3727"/>
    <w:rsid w:val="18171305"/>
    <w:rsid w:val="181D1E3B"/>
    <w:rsid w:val="181D6948"/>
    <w:rsid w:val="182543BD"/>
    <w:rsid w:val="18334194"/>
    <w:rsid w:val="183E1D37"/>
    <w:rsid w:val="18482A17"/>
    <w:rsid w:val="184D0787"/>
    <w:rsid w:val="184F4D08"/>
    <w:rsid w:val="185D1883"/>
    <w:rsid w:val="185E3AA1"/>
    <w:rsid w:val="18742BD5"/>
    <w:rsid w:val="187447DB"/>
    <w:rsid w:val="18812331"/>
    <w:rsid w:val="18816F1C"/>
    <w:rsid w:val="18853F3E"/>
    <w:rsid w:val="18956393"/>
    <w:rsid w:val="18A8582C"/>
    <w:rsid w:val="18AB3604"/>
    <w:rsid w:val="18B50543"/>
    <w:rsid w:val="18C515FC"/>
    <w:rsid w:val="18CA40C3"/>
    <w:rsid w:val="18CC73BC"/>
    <w:rsid w:val="18CD7A02"/>
    <w:rsid w:val="18E21EFF"/>
    <w:rsid w:val="18F32AFF"/>
    <w:rsid w:val="18F37652"/>
    <w:rsid w:val="19001FFC"/>
    <w:rsid w:val="190E2B4A"/>
    <w:rsid w:val="19151C58"/>
    <w:rsid w:val="1917174A"/>
    <w:rsid w:val="19256D7A"/>
    <w:rsid w:val="19292CD4"/>
    <w:rsid w:val="192C403E"/>
    <w:rsid w:val="193275C2"/>
    <w:rsid w:val="19454C70"/>
    <w:rsid w:val="194D2005"/>
    <w:rsid w:val="194D3980"/>
    <w:rsid w:val="195B59A7"/>
    <w:rsid w:val="196229FF"/>
    <w:rsid w:val="19655A52"/>
    <w:rsid w:val="19663168"/>
    <w:rsid w:val="196D1144"/>
    <w:rsid w:val="197724BD"/>
    <w:rsid w:val="19786B0A"/>
    <w:rsid w:val="198A41A1"/>
    <w:rsid w:val="199A2059"/>
    <w:rsid w:val="199B4699"/>
    <w:rsid w:val="19A40543"/>
    <w:rsid w:val="19A91329"/>
    <w:rsid w:val="19B46E10"/>
    <w:rsid w:val="19C456C1"/>
    <w:rsid w:val="19C47D20"/>
    <w:rsid w:val="19C96BAE"/>
    <w:rsid w:val="19DB6A7E"/>
    <w:rsid w:val="19DF018D"/>
    <w:rsid w:val="19E65498"/>
    <w:rsid w:val="19ED2D17"/>
    <w:rsid w:val="19F061A1"/>
    <w:rsid w:val="19F3324D"/>
    <w:rsid w:val="19F70ED8"/>
    <w:rsid w:val="1A054259"/>
    <w:rsid w:val="1A081816"/>
    <w:rsid w:val="1A0C5680"/>
    <w:rsid w:val="1A153EDB"/>
    <w:rsid w:val="1A165171"/>
    <w:rsid w:val="1A2A462B"/>
    <w:rsid w:val="1A2F1830"/>
    <w:rsid w:val="1A3F3E57"/>
    <w:rsid w:val="1A4858FF"/>
    <w:rsid w:val="1A491DAC"/>
    <w:rsid w:val="1A4C698A"/>
    <w:rsid w:val="1A586874"/>
    <w:rsid w:val="1A5D5219"/>
    <w:rsid w:val="1A5E4B5A"/>
    <w:rsid w:val="1A605995"/>
    <w:rsid w:val="1A672B1C"/>
    <w:rsid w:val="1A6C2A17"/>
    <w:rsid w:val="1A735226"/>
    <w:rsid w:val="1A774E7A"/>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8570C"/>
    <w:rsid w:val="1AF14946"/>
    <w:rsid w:val="1AFB06A3"/>
    <w:rsid w:val="1B0F19AE"/>
    <w:rsid w:val="1B2160BB"/>
    <w:rsid w:val="1B221094"/>
    <w:rsid w:val="1B232492"/>
    <w:rsid w:val="1B3137EE"/>
    <w:rsid w:val="1B3637AD"/>
    <w:rsid w:val="1B3E0DB5"/>
    <w:rsid w:val="1B435D31"/>
    <w:rsid w:val="1B454C94"/>
    <w:rsid w:val="1B496377"/>
    <w:rsid w:val="1B506283"/>
    <w:rsid w:val="1B6C0DF0"/>
    <w:rsid w:val="1B7034E2"/>
    <w:rsid w:val="1B797F1F"/>
    <w:rsid w:val="1B7F6005"/>
    <w:rsid w:val="1B862C77"/>
    <w:rsid w:val="1B94236B"/>
    <w:rsid w:val="1B9A1502"/>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0948DA"/>
    <w:rsid w:val="1C132CB9"/>
    <w:rsid w:val="1C1642A1"/>
    <w:rsid w:val="1C207A38"/>
    <w:rsid w:val="1C25485F"/>
    <w:rsid w:val="1C273D33"/>
    <w:rsid w:val="1C274D98"/>
    <w:rsid w:val="1C395CFF"/>
    <w:rsid w:val="1C4032AB"/>
    <w:rsid w:val="1C4672ED"/>
    <w:rsid w:val="1C467AB6"/>
    <w:rsid w:val="1C6277A9"/>
    <w:rsid w:val="1C687AA0"/>
    <w:rsid w:val="1C7B213D"/>
    <w:rsid w:val="1C7B3C60"/>
    <w:rsid w:val="1C7F54CE"/>
    <w:rsid w:val="1C7F743F"/>
    <w:rsid w:val="1C837981"/>
    <w:rsid w:val="1C8C4AA9"/>
    <w:rsid w:val="1C8C604B"/>
    <w:rsid w:val="1C92160B"/>
    <w:rsid w:val="1C973EEF"/>
    <w:rsid w:val="1C9E044B"/>
    <w:rsid w:val="1CA03243"/>
    <w:rsid w:val="1CAF5DB2"/>
    <w:rsid w:val="1CB00002"/>
    <w:rsid w:val="1CB40DF1"/>
    <w:rsid w:val="1CCC26CA"/>
    <w:rsid w:val="1CCF6CAF"/>
    <w:rsid w:val="1CD2156B"/>
    <w:rsid w:val="1CD41743"/>
    <w:rsid w:val="1CD44D3D"/>
    <w:rsid w:val="1CD51DA1"/>
    <w:rsid w:val="1CE45EF5"/>
    <w:rsid w:val="1CE615C9"/>
    <w:rsid w:val="1D037029"/>
    <w:rsid w:val="1D051DAC"/>
    <w:rsid w:val="1D1316E8"/>
    <w:rsid w:val="1D17360B"/>
    <w:rsid w:val="1D1D7103"/>
    <w:rsid w:val="1D2B0BB4"/>
    <w:rsid w:val="1D3305FF"/>
    <w:rsid w:val="1D335FC4"/>
    <w:rsid w:val="1D395282"/>
    <w:rsid w:val="1D4251BA"/>
    <w:rsid w:val="1D551881"/>
    <w:rsid w:val="1D5959E7"/>
    <w:rsid w:val="1D5F5386"/>
    <w:rsid w:val="1D7072CE"/>
    <w:rsid w:val="1D794A16"/>
    <w:rsid w:val="1D795467"/>
    <w:rsid w:val="1D9E30A9"/>
    <w:rsid w:val="1DA142D7"/>
    <w:rsid w:val="1DA33B45"/>
    <w:rsid w:val="1DA54EF3"/>
    <w:rsid w:val="1DAB1006"/>
    <w:rsid w:val="1DB33C11"/>
    <w:rsid w:val="1DB34347"/>
    <w:rsid w:val="1DC12FD6"/>
    <w:rsid w:val="1DC65562"/>
    <w:rsid w:val="1DCE33C5"/>
    <w:rsid w:val="1DD13720"/>
    <w:rsid w:val="1DD40512"/>
    <w:rsid w:val="1DE8351C"/>
    <w:rsid w:val="1DE94164"/>
    <w:rsid w:val="1DEE1B11"/>
    <w:rsid w:val="1E0112F9"/>
    <w:rsid w:val="1E0B0833"/>
    <w:rsid w:val="1E146425"/>
    <w:rsid w:val="1E164B52"/>
    <w:rsid w:val="1E234B9F"/>
    <w:rsid w:val="1E273844"/>
    <w:rsid w:val="1E2F243E"/>
    <w:rsid w:val="1E377E23"/>
    <w:rsid w:val="1E3B4F6B"/>
    <w:rsid w:val="1E417896"/>
    <w:rsid w:val="1E455D19"/>
    <w:rsid w:val="1E501C47"/>
    <w:rsid w:val="1E595CAF"/>
    <w:rsid w:val="1E5B733A"/>
    <w:rsid w:val="1E5C31E8"/>
    <w:rsid w:val="1E64416A"/>
    <w:rsid w:val="1E660486"/>
    <w:rsid w:val="1E6607F9"/>
    <w:rsid w:val="1E691070"/>
    <w:rsid w:val="1E79088D"/>
    <w:rsid w:val="1E7E6BFD"/>
    <w:rsid w:val="1E805396"/>
    <w:rsid w:val="1E806520"/>
    <w:rsid w:val="1E884F62"/>
    <w:rsid w:val="1E9D6342"/>
    <w:rsid w:val="1E9D6D15"/>
    <w:rsid w:val="1EA77730"/>
    <w:rsid w:val="1EAF5D76"/>
    <w:rsid w:val="1EBD1EAD"/>
    <w:rsid w:val="1EC36E9D"/>
    <w:rsid w:val="1ECA4D4D"/>
    <w:rsid w:val="1ECD6B66"/>
    <w:rsid w:val="1ED81084"/>
    <w:rsid w:val="1EE25FDD"/>
    <w:rsid w:val="1EF5103F"/>
    <w:rsid w:val="1EFF621F"/>
    <w:rsid w:val="1F090F9B"/>
    <w:rsid w:val="1F0E5D6B"/>
    <w:rsid w:val="1F1921D7"/>
    <w:rsid w:val="1F335242"/>
    <w:rsid w:val="1F3E605E"/>
    <w:rsid w:val="1F3E662A"/>
    <w:rsid w:val="1F417C0A"/>
    <w:rsid w:val="1F482412"/>
    <w:rsid w:val="1F4F2219"/>
    <w:rsid w:val="1F5D2184"/>
    <w:rsid w:val="1F614D01"/>
    <w:rsid w:val="1F721405"/>
    <w:rsid w:val="1F7638D9"/>
    <w:rsid w:val="1F86758F"/>
    <w:rsid w:val="1F935819"/>
    <w:rsid w:val="1F9F1A13"/>
    <w:rsid w:val="1FA076DC"/>
    <w:rsid w:val="1FA6556D"/>
    <w:rsid w:val="1FAF2571"/>
    <w:rsid w:val="1FB7507F"/>
    <w:rsid w:val="1FC47ECF"/>
    <w:rsid w:val="1FC55EDA"/>
    <w:rsid w:val="1FC66FF1"/>
    <w:rsid w:val="1FCE593C"/>
    <w:rsid w:val="1FD175A8"/>
    <w:rsid w:val="1FD81D98"/>
    <w:rsid w:val="1FE312AC"/>
    <w:rsid w:val="1FE34925"/>
    <w:rsid w:val="1FEC5915"/>
    <w:rsid w:val="1FED32EF"/>
    <w:rsid w:val="201743BA"/>
    <w:rsid w:val="201E6D7C"/>
    <w:rsid w:val="20280BF3"/>
    <w:rsid w:val="202E2AB2"/>
    <w:rsid w:val="20355E85"/>
    <w:rsid w:val="20392DEC"/>
    <w:rsid w:val="203B17A7"/>
    <w:rsid w:val="203D340C"/>
    <w:rsid w:val="203D7ACF"/>
    <w:rsid w:val="203F0A07"/>
    <w:rsid w:val="20446081"/>
    <w:rsid w:val="204852AD"/>
    <w:rsid w:val="204E6676"/>
    <w:rsid w:val="205A0DA2"/>
    <w:rsid w:val="205A5AA0"/>
    <w:rsid w:val="20677607"/>
    <w:rsid w:val="20685BC4"/>
    <w:rsid w:val="20773A28"/>
    <w:rsid w:val="20776154"/>
    <w:rsid w:val="208574F4"/>
    <w:rsid w:val="208C4449"/>
    <w:rsid w:val="208F6BAF"/>
    <w:rsid w:val="20966D8D"/>
    <w:rsid w:val="20A462BA"/>
    <w:rsid w:val="20BF2AAC"/>
    <w:rsid w:val="20C245BE"/>
    <w:rsid w:val="20C6317E"/>
    <w:rsid w:val="20C73541"/>
    <w:rsid w:val="20C849C7"/>
    <w:rsid w:val="20C96A07"/>
    <w:rsid w:val="20CA76F9"/>
    <w:rsid w:val="20D51E1A"/>
    <w:rsid w:val="20DB75CF"/>
    <w:rsid w:val="20DB7AF0"/>
    <w:rsid w:val="20DF66D2"/>
    <w:rsid w:val="20EC3F2E"/>
    <w:rsid w:val="20EC7C3E"/>
    <w:rsid w:val="20F16108"/>
    <w:rsid w:val="210548E9"/>
    <w:rsid w:val="21124D15"/>
    <w:rsid w:val="211A5F04"/>
    <w:rsid w:val="212A5BF7"/>
    <w:rsid w:val="213533EC"/>
    <w:rsid w:val="213E7119"/>
    <w:rsid w:val="214369E8"/>
    <w:rsid w:val="214D1729"/>
    <w:rsid w:val="21530058"/>
    <w:rsid w:val="216A2141"/>
    <w:rsid w:val="21774C7C"/>
    <w:rsid w:val="21810744"/>
    <w:rsid w:val="218D6EF5"/>
    <w:rsid w:val="2195668B"/>
    <w:rsid w:val="219E3719"/>
    <w:rsid w:val="219F5DD6"/>
    <w:rsid w:val="219F69EC"/>
    <w:rsid w:val="21A130EA"/>
    <w:rsid w:val="21A37699"/>
    <w:rsid w:val="21BF60EB"/>
    <w:rsid w:val="21C115EE"/>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D72BA"/>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F277C"/>
    <w:rsid w:val="237216BA"/>
    <w:rsid w:val="23816932"/>
    <w:rsid w:val="23886A2D"/>
    <w:rsid w:val="238E2016"/>
    <w:rsid w:val="238F70F2"/>
    <w:rsid w:val="239C062C"/>
    <w:rsid w:val="23A9484E"/>
    <w:rsid w:val="23B32F98"/>
    <w:rsid w:val="23B36F54"/>
    <w:rsid w:val="23B84268"/>
    <w:rsid w:val="23C5553B"/>
    <w:rsid w:val="23D17D7B"/>
    <w:rsid w:val="23D36D91"/>
    <w:rsid w:val="23E344C7"/>
    <w:rsid w:val="23F70BA5"/>
    <w:rsid w:val="23F93D0D"/>
    <w:rsid w:val="240366A5"/>
    <w:rsid w:val="2405417E"/>
    <w:rsid w:val="240E507C"/>
    <w:rsid w:val="240F5116"/>
    <w:rsid w:val="24190849"/>
    <w:rsid w:val="241B5C62"/>
    <w:rsid w:val="241C5F7B"/>
    <w:rsid w:val="24280875"/>
    <w:rsid w:val="24377DB7"/>
    <w:rsid w:val="243B745E"/>
    <w:rsid w:val="24427A08"/>
    <w:rsid w:val="24454B90"/>
    <w:rsid w:val="24572B1C"/>
    <w:rsid w:val="2458381E"/>
    <w:rsid w:val="245872F9"/>
    <w:rsid w:val="245943D9"/>
    <w:rsid w:val="245E6B64"/>
    <w:rsid w:val="2463385E"/>
    <w:rsid w:val="246E2D0C"/>
    <w:rsid w:val="247C27F7"/>
    <w:rsid w:val="248B0DC8"/>
    <w:rsid w:val="24967323"/>
    <w:rsid w:val="249817D6"/>
    <w:rsid w:val="249D5FC8"/>
    <w:rsid w:val="24A14B47"/>
    <w:rsid w:val="24A1538E"/>
    <w:rsid w:val="24AD67F4"/>
    <w:rsid w:val="24B9450F"/>
    <w:rsid w:val="24C83F94"/>
    <w:rsid w:val="24DE3A8A"/>
    <w:rsid w:val="24E7219B"/>
    <w:rsid w:val="24F60CDA"/>
    <w:rsid w:val="24FC5D1A"/>
    <w:rsid w:val="24FE42EB"/>
    <w:rsid w:val="24FE7E17"/>
    <w:rsid w:val="25040446"/>
    <w:rsid w:val="2508395C"/>
    <w:rsid w:val="250D450C"/>
    <w:rsid w:val="25134332"/>
    <w:rsid w:val="25141A5B"/>
    <w:rsid w:val="251D6CAE"/>
    <w:rsid w:val="2521546A"/>
    <w:rsid w:val="252242ED"/>
    <w:rsid w:val="2524677D"/>
    <w:rsid w:val="252920ED"/>
    <w:rsid w:val="252A2BA6"/>
    <w:rsid w:val="252B49E0"/>
    <w:rsid w:val="253F6469"/>
    <w:rsid w:val="254A35DD"/>
    <w:rsid w:val="254C7F67"/>
    <w:rsid w:val="255414CA"/>
    <w:rsid w:val="25577BA5"/>
    <w:rsid w:val="25657E8F"/>
    <w:rsid w:val="25734B61"/>
    <w:rsid w:val="25745F06"/>
    <w:rsid w:val="258F6BC4"/>
    <w:rsid w:val="25975923"/>
    <w:rsid w:val="259A3D0A"/>
    <w:rsid w:val="25A76B90"/>
    <w:rsid w:val="25A95F3E"/>
    <w:rsid w:val="25B4699E"/>
    <w:rsid w:val="25B7161F"/>
    <w:rsid w:val="25B75A0F"/>
    <w:rsid w:val="25BF43FD"/>
    <w:rsid w:val="25BF6041"/>
    <w:rsid w:val="25C35718"/>
    <w:rsid w:val="25C478B3"/>
    <w:rsid w:val="25CC2570"/>
    <w:rsid w:val="25CF0252"/>
    <w:rsid w:val="25D0248E"/>
    <w:rsid w:val="25D06895"/>
    <w:rsid w:val="25D61C5C"/>
    <w:rsid w:val="25EE28A7"/>
    <w:rsid w:val="25F81D70"/>
    <w:rsid w:val="25FB5636"/>
    <w:rsid w:val="25FE58A9"/>
    <w:rsid w:val="260135F5"/>
    <w:rsid w:val="26047AC4"/>
    <w:rsid w:val="26070462"/>
    <w:rsid w:val="260D2C45"/>
    <w:rsid w:val="26272B27"/>
    <w:rsid w:val="26280DF4"/>
    <w:rsid w:val="26395C92"/>
    <w:rsid w:val="263F660E"/>
    <w:rsid w:val="26465DA0"/>
    <w:rsid w:val="264777D9"/>
    <w:rsid w:val="26497858"/>
    <w:rsid w:val="264C485B"/>
    <w:rsid w:val="265A5249"/>
    <w:rsid w:val="266237C3"/>
    <w:rsid w:val="266749F2"/>
    <w:rsid w:val="267550B9"/>
    <w:rsid w:val="269C0A66"/>
    <w:rsid w:val="26A71F8E"/>
    <w:rsid w:val="26B06894"/>
    <w:rsid w:val="26B431AD"/>
    <w:rsid w:val="26B654CA"/>
    <w:rsid w:val="26B76B93"/>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57341"/>
    <w:rsid w:val="275E7380"/>
    <w:rsid w:val="27604751"/>
    <w:rsid w:val="27624780"/>
    <w:rsid w:val="27624AEB"/>
    <w:rsid w:val="276D7707"/>
    <w:rsid w:val="277314C4"/>
    <w:rsid w:val="277419CB"/>
    <w:rsid w:val="2778582E"/>
    <w:rsid w:val="277F0B43"/>
    <w:rsid w:val="27806765"/>
    <w:rsid w:val="27832596"/>
    <w:rsid w:val="278C1620"/>
    <w:rsid w:val="279B1E53"/>
    <w:rsid w:val="27AA3521"/>
    <w:rsid w:val="27AB0725"/>
    <w:rsid w:val="27AB7429"/>
    <w:rsid w:val="27C57B2B"/>
    <w:rsid w:val="27C8029E"/>
    <w:rsid w:val="27CC78AC"/>
    <w:rsid w:val="27CD3453"/>
    <w:rsid w:val="27D72FE7"/>
    <w:rsid w:val="27D86029"/>
    <w:rsid w:val="27DC10DD"/>
    <w:rsid w:val="27DD45ED"/>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96098"/>
    <w:rsid w:val="286E74F1"/>
    <w:rsid w:val="28760CA0"/>
    <w:rsid w:val="28796ED0"/>
    <w:rsid w:val="287B218C"/>
    <w:rsid w:val="288A05DD"/>
    <w:rsid w:val="28937D89"/>
    <w:rsid w:val="289B0550"/>
    <w:rsid w:val="28BE71CB"/>
    <w:rsid w:val="28C96C14"/>
    <w:rsid w:val="28CD627E"/>
    <w:rsid w:val="28D04F68"/>
    <w:rsid w:val="28D15ED7"/>
    <w:rsid w:val="28E138E3"/>
    <w:rsid w:val="28E74216"/>
    <w:rsid w:val="28E87EE4"/>
    <w:rsid w:val="28F2351A"/>
    <w:rsid w:val="2903396A"/>
    <w:rsid w:val="29087976"/>
    <w:rsid w:val="290B654D"/>
    <w:rsid w:val="29124309"/>
    <w:rsid w:val="2921752E"/>
    <w:rsid w:val="294E766A"/>
    <w:rsid w:val="29513848"/>
    <w:rsid w:val="296B203C"/>
    <w:rsid w:val="296F384A"/>
    <w:rsid w:val="296F5A87"/>
    <w:rsid w:val="297161D3"/>
    <w:rsid w:val="297510B4"/>
    <w:rsid w:val="2978319A"/>
    <w:rsid w:val="29886D49"/>
    <w:rsid w:val="298920D1"/>
    <w:rsid w:val="29897A2F"/>
    <w:rsid w:val="299A7458"/>
    <w:rsid w:val="29A02DFF"/>
    <w:rsid w:val="29A3014B"/>
    <w:rsid w:val="29A74CBD"/>
    <w:rsid w:val="29A80BF5"/>
    <w:rsid w:val="29B01C34"/>
    <w:rsid w:val="29B16357"/>
    <w:rsid w:val="29B277F5"/>
    <w:rsid w:val="29B35300"/>
    <w:rsid w:val="29BA0D88"/>
    <w:rsid w:val="29BA6381"/>
    <w:rsid w:val="29BB3E72"/>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405845"/>
    <w:rsid w:val="2A415DDF"/>
    <w:rsid w:val="2A45641B"/>
    <w:rsid w:val="2A496A6F"/>
    <w:rsid w:val="2A4C39E2"/>
    <w:rsid w:val="2A4D593F"/>
    <w:rsid w:val="2A58319D"/>
    <w:rsid w:val="2A5C6B8D"/>
    <w:rsid w:val="2A6B02A8"/>
    <w:rsid w:val="2A6E31F8"/>
    <w:rsid w:val="2A704730"/>
    <w:rsid w:val="2A7366A7"/>
    <w:rsid w:val="2A836D08"/>
    <w:rsid w:val="2A87174E"/>
    <w:rsid w:val="2A8A2F9C"/>
    <w:rsid w:val="2AAC5A06"/>
    <w:rsid w:val="2ABB3D6F"/>
    <w:rsid w:val="2AC25434"/>
    <w:rsid w:val="2AC70B30"/>
    <w:rsid w:val="2ACC2AAF"/>
    <w:rsid w:val="2AD56653"/>
    <w:rsid w:val="2AD74744"/>
    <w:rsid w:val="2AD91AC2"/>
    <w:rsid w:val="2AE17EE7"/>
    <w:rsid w:val="2AE57C95"/>
    <w:rsid w:val="2AF35C8B"/>
    <w:rsid w:val="2B0B578B"/>
    <w:rsid w:val="2B0C0EEE"/>
    <w:rsid w:val="2B132265"/>
    <w:rsid w:val="2B20072F"/>
    <w:rsid w:val="2B214776"/>
    <w:rsid w:val="2B2843BE"/>
    <w:rsid w:val="2B313FC1"/>
    <w:rsid w:val="2B347C14"/>
    <w:rsid w:val="2B39348E"/>
    <w:rsid w:val="2B437285"/>
    <w:rsid w:val="2B494377"/>
    <w:rsid w:val="2B4B30FC"/>
    <w:rsid w:val="2B4D5018"/>
    <w:rsid w:val="2B4D695C"/>
    <w:rsid w:val="2B514803"/>
    <w:rsid w:val="2B5C71EC"/>
    <w:rsid w:val="2B5E14FB"/>
    <w:rsid w:val="2B637D4B"/>
    <w:rsid w:val="2B674B1E"/>
    <w:rsid w:val="2B6B1684"/>
    <w:rsid w:val="2B7B70BF"/>
    <w:rsid w:val="2B7E23C3"/>
    <w:rsid w:val="2B853AF3"/>
    <w:rsid w:val="2B8B422C"/>
    <w:rsid w:val="2B8F2B75"/>
    <w:rsid w:val="2BA07D38"/>
    <w:rsid w:val="2BC40957"/>
    <w:rsid w:val="2BCB5DAA"/>
    <w:rsid w:val="2BD32CF3"/>
    <w:rsid w:val="2BD65380"/>
    <w:rsid w:val="2BE65E96"/>
    <w:rsid w:val="2BE725D0"/>
    <w:rsid w:val="2BE838DD"/>
    <w:rsid w:val="2BF369B9"/>
    <w:rsid w:val="2BFC0A4A"/>
    <w:rsid w:val="2C094904"/>
    <w:rsid w:val="2C0E55A1"/>
    <w:rsid w:val="2C1C1B17"/>
    <w:rsid w:val="2C210873"/>
    <w:rsid w:val="2C38629A"/>
    <w:rsid w:val="2C3A7BF6"/>
    <w:rsid w:val="2C425BCE"/>
    <w:rsid w:val="2C44676A"/>
    <w:rsid w:val="2C485295"/>
    <w:rsid w:val="2C495C38"/>
    <w:rsid w:val="2C4A080C"/>
    <w:rsid w:val="2C54533B"/>
    <w:rsid w:val="2C591378"/>
    <w:rsid w:val="2C61165D"/>
    <w:rsid w:val="2C677A31"/>
    <w:rsid w:val="2C770676"/>
    <w:rsid w:val="2C797A76"/>
    <w:rsid w:val="2C8F4862"/>
    <w:rsid w:val="2C93143E"/>
    <w:rsid w:val="2C9E5AC8"/>
    <w:rsid w:val="2CA2721B"/>
    <w:rsid w:val="2CAC6D87"/>
    <w:rsid w:val="2CB600FC"/>
    <w:rsid w:val="2CE079AD"/>
    <w:rsid w:val="2CE8526F"/>
    <w:rsid w:val="2CEC0E75"/>
    <w:rsid w:val="2CEC353A"/>
    <w:rsid w:val="2CEF21C5"/>
    <w:rsid w:val="2D015187"/>
    <w:rsid w:val="2D026315"/>
    <w:rsid w:val="2D03083C"/>
    <w:rsid w:val="2D0764BD"/>
    <w:rsid w:val="2D086672"/>
    <w:rsid w:val="2D0B3169"/>
    <w:rsid w:val="2D0D4219"/>
    <w:rsid w:val="2D1E0AF2"/>
    <w:rsid w:val="2D271D68"/>
    <w:rsid w:val="2D274320"/>
    <w:rsid w:val="2D29557E"/>
    <w:rsid w:val="2D2C3DD3"/>
    <w:rsid w:val="2D2D2DE2"/>
    <w:rsid w:val="2D321869"/>
    <w:rsid w:val="2D324CCC"/>
    <w:rsid w:val="2D334274"/>
    <w:rsid w:val="2D340E86"/>
    <w:rsid w:val="2D395427"/>
    <w:rsid w:val="2D3C2966"/>
    <w:rsid w:val="2D3D0E02"/>
    <w:rsid w:val="2D5436FA"/>
    <w:rsid w:val="2D571921"/>
    <w:rsid w:val="2D62469E"/>
    <w:rsid w:val="2D690FFD"/>
    <w:rsid w:val="2D6B40A9"/>
    <w:rsid w:val="2D6C155B"/>
    <w:rsid w:val="2D707235"/>
    <w:rsid w:val="2D71729C"/>
    <w:rsid w:val="2D8A3FA2"/>
    <w:rsid w:val="2D921BED"/>
    <w:rsid w:val="2D94006F"/>
    <w:rsid w:val="2D9767DC"/>
    <w:rsid w:val="2D980DDC"/>
    <w:rsid w:val="2D987372"/>
    <w:rsid w:val="2D9B18FB"/>
    <w:rsid w:val="2DA23D5C"/>
    <w:rsid w:val="2DB872E3"/>
    <w:rsid w:val="2DC66A91"/>
    <w:rsid w:val="2DC92AA1"/>
    <w:rsid w:val="2DCE5F69"/>
    <w:rsid w:val="2DDD4F0A"/>
    <w:rsid w:val="2E063012"/>
    <w:rsid w:val="2E1F0CF7"/>
    <w:rsid w:val="2E3118D8"/>
    <w:rsid w:val="2E34792A"/>
    <w:rsid w:val="2E437E73"/>
    <w:rsid w:val="2E5034DC"/>
    <w:rsid w:val="2E572AB9"/>
    <w:rsid w:val="2E7057C3"/>
    <w:rsid w:val="2E720143"/>
    <w:rsid w:val="2E7248C0"/>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D53442"/>
    <w:rsid w:val="2EDD7896"/>
    <w:rsid w:val="2EEA6E65"/>
    <w:rsid w:val="2EF31F38"/>
    <w:rsid w:val="2EF33C7C"/>
    <w:rsid w:val="2EF66AA8"/>
    <w:rsid w:val="2F00052B"/>
    <w:rsid w:val="2F0367CD"/>
    <w:rsid w:val="2F0B683E"/>
    <w:rsid w:val="2F1251F2"/>
    <w:rsid w:val="2F196353"/>
    <w:rsid w:val="2F1B08DB"/>
    <w:rsid w:val="2F2D445E"/>
    <w:rsid w:val="2F4F6FBB"/>
    <w:rsid w:val="2F664E2B"/>
    <w:rsid w:val="2F6C7BE3"/>
    <w:rsid w:val="2F715580"/>
    <w:rsid w:val="2F783485"/>
    <w:rsid w:val="2F7F5C0B"/>
    <w:rsid w:val="2FA6492D"/>
    <w:rsid w:val="2FC4426D"/>
    <w:rsid w:val="2FC86676"/>
    <w:rsid w:val="2FD150ED"/>
    <w:rsid w:val="2FD17A1B"/>
    <w:rsid w:val="2FD71CA4"/>
    <w:rsid w:val="2FDA1416"/>
    <w:rsid w:val="2FDC4A8D"/>
    <w:rsid w:val="2FDE43D5"/>
    <w:rsid w:val="2FEE50B1"/>
    <w:rsid w:val="2FF23AB7"/>
    <w:rsid w:val="2FF93066"/>
    <w:rsid w:val="3010584B"/>
    <w:rsid w:val="301A71CE"/>
    <w:rsid w:val="301C3E88"/>
    <w:rsid w:val="301E049B"/>
    <w:rsid w:val="302A4BE6"/>
    <w:rsid w:val="302D4B96"/>
    <w:rsid w:val="30313F05"/>
    <w:rsid w:val="30357A24"/>
    <w:rsid w:val="303C7735"/>
    <w:rsid w:val="304117E8"/>
    <w:rsid w:val="304478EC"/>
    <w:rsid w:val="304D1074"/>
    <w:rsid w:val="30515C8E"/>
    <w:rsid w:val="30517245"/>
    <w:rsid w:val="306C64E5"/>
    <w:rsid w:val="3091013E"/>
    <w:rsid w:val="30926F91"/>
    <w:rsid w:val="309440A1"/>
    <w:rsid w:val="30962F3E"/>
    <w:rsid w:val="30AA2585"/>
    <w:rsid w:val="30B03DC4"/>
    <w:rsid w:val="30C16A19"/>
    <w:rsid w:val="30CB5800"/>
    <w:rsid w:val="30D32236"/>
    <w:rsid w:val="30F92FE5"/>
    <w:rsid w:val="30FA7530"/>
    <w:rsid w:val="30FF2795"/>
    <w:rsid w:val="310225AA"/>
    <w:rsid w:val="310375CD"/>
    <w:rsid w:val="310B0487"/>
    <w:rsid w:val="310E6387"/>
    <w:rsid w:val="311061FF"/>
    <w:rsid w:val="311611B3"/>
    <w:rsid w:val="311A6C35"/>
    <w:rsid w:val="31333AA3"/>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18F2"/>
    <w:rsid w:val="31C819E4"/>
    <w:rsid w:val="31C916F7"/>
    <w:rsid w:val="31D20051"/>
    <w:rsid w:val="31D54649"/>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6847C5"/>
    <w:rsid w:val="32724A5B"/>
    <w:rsid w:val="32757E99"/>
    <w:rsid w:val="32770A74"/>
    <w:rsid w:val="327D43E5"/>
    <w:rsid w:val="328F5534"/>
    <w:rsid w:val="329A6ACE"/>
    <w:rsid w:val="32A145CA"/>
    <w:rsid w:val="32A230DB"/>
    <w:rsid w:val="32BB0394"/>
    <w:rsid w:val="32CE7F7A"/>
    <w:rsid w:val="32DF351E"/>
    <w:rsid w:val="32DF36FA"/>
    <w:rsid w:val="32EE5E41"/>
    <w:rsid w:val="32F40F87"/>
    <w:rsid w:val="32F549ED"/>
    <w:rsid w:val="32FD7C76"/>
    <w:rsid w:val="330B7199"/>
    <w:rsid w:val="330C22FC"/>
    <w:rsid w:val="33242BDA"/>
    <w:rsid w:val="33272EB3"/>
    <w:rsid w:val="33277E81"/>
    <w:rsid w:val="33304A5C"/>
    <w:rsid w:val="33404DED"/>
    <w:rsid w:val="334B2535"/>
    <w:rsid w:val="33540E5D"/>
    <w:rsid w:val="33575633"/>
    <w:rsid w:val="33587D60"/>
    <w:rsid w:val="335A0521"/>
    <w:rsid w:val="335E7B11"/>
    <w:rsid w:val="336032E8"/>
    <w:rsid w:val="3364318B"/>
    <w:rsid w:val="33663C19"/>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47354"/>
    <w:rsid w:val="33CD6498"/>
    <w:rsid w:val="33D52499"/>
    <w:rsid w:val="33D7554F"/>
    <w:rsid w:val="33DD46BB"/>
    <w:rsid w:val="33ED2B2C"/>
    <w:rsid w:val="33FB4AD5"/>
    <w:rsid w:val="33FE62E7"/>
    <w:rsid w:val="34080399"/>
    <w:rsid w:val="340D25F6"/>
    <w:rsid w:val="341E0A7E"/>
    <w:rsid w:val="34216BA7"/>
    <w:rsid w:val="3429226D"/>
    <w:rsid w:val="342B76C7"/>
    <w:rsid w:val="34341A95"/>
    <w:rsid w:val="343A1527"/>
    <w:rsid w:val="34447898"/>
    <w:rsid w:val="344E62FA"/>
    <w:rsid w:val="34526AB4"/>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54744"/>
    <w:rsid w:val="34FD3BA4"/>
    <w:rsid w:val="350B42D5"/>
    <w:rsid w:val="350F6258"/>
    <w:rsid w:val="351A603C"/>
    <w:rsid w:val="352821F6"/>
    <w:rsid w:val="3533698A"/>
    <w:rsid w:val="35387F19"/>
    <w:rsid w:val="3539550B"/>
    <w:rsid w:val="35533061"/>
    <w:rsid w:val="35553BD3"/>
    <w:rsid w:val="355C2F45"/>
    <w:rsid w:val="356678B4"/>
    <w:rsid w:val="356B49D8"/>
    <w:rsid w:val="356F0F35"/>
    <w:rsid w:val="3573649F"/>
    <w:rsid w:val="357E4B0A"/>
    <w:rsid w:val="35866D7F"/>
    <w:rsid w:val="358F6BDF"/>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262C62"/>
    <w:rsid w:val="362A64C1"/>
    <w:rsid w:val="363B4A32"/>
    <w:rsid w:val="36402EFA"/>
    <w:rsid w:val="36496A51"/>
    <w:rsid w:val="365623F6"/>
    <w:rsid w:val="36820DFD"/>
    <w:rsid w:val="368230C6"/>
    <w:rsid w:val="36843A03"/>
    <w:rsid w:val="368C5E8A"/>
    <w:rsid w:val="368E7248"/>
    <w:rsid w:val="368F7E4F"/>
    <w:rsid w:val="3696373E"/>
    <w:rsid w:val="36985297"/>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3F4A34"/>
    <w:rsid w:val="37503E6C"/>
    <w:rsid w:val="37523C07"/>
    <w:rsid w:val="3758590A"/>
    <w:rsid w:val="375E77B2"/>
    <w:rsid w:val="37602E60"/>
    <w:rsid w:val="377525D3"/>
    <w:rsid w:val="378229A7"/>
    <w:rsid w:val="3784394E"/>
    <w:rsid w:val="37856510"/>
    <w:rsid w:val="37944D89"/>
    <w:rsid w:val="37987437"/>
    <w:rsid w:val="379F33FC"/>
    <w:rsid w:val="37A432E4"/>
    <w:rsid w:val="37A86196"/>
    <w:rsid w:val="37B173A7"/>
    <w:rsid w:val="37C94031"/>
    <w:rsid w:val="37CA042E"/>
    <w:rsid w:val="37D44549"/>
    <w:rsid w:val="37D77B09"/>
    <w:rsid w:val="37D86DCA"/>
    <w:rsid w:val="37D97EDE"/>
    <w:rsid w:val="37DF2F93"/>
    <w:rsid w:val="37E064EB"/>
    <w:rsid w:val="37E76E34"/>
    <w:rsid w:val="37FE02EA"/>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7C755F"/>
    <w:rsid w:val="38885FCC"/>
    <w:rsid w:val="388E5848"/>
    <w:rsid w:val="3896426D"/>
    <w:rsid w:val="38A058F5"/>
    <w:rsid w:val="38A341A7"/>
    <w:rsid w:val="38A75C0A"/>
    <w:rsid w:val="38B624DA"/>
    <w:rsid w:val="38BD31EE"/>
    <w:rsid w:val="38CB3BDF"/>
    <w:rsid w:val="38D33D29"/>
    <w:rsid w:val="38D41CCF"/>
    <w:rsid w:val="38D808BC"/>
    <w:rsid w:val="38E40A5B"/>
    <w:rsid w:val="38E7692F"/>
    <w:rsid w:val="38F16A28"/>
    <w:rsid w:val="38FA10A5"/>
    <w:rsid w:val="38FB1E09"/>
    <w:rsid w:val="390A2E6E"/>
    <w:rsid w:val="390E5F29"/>
    <w:rsid w:val="391A3359"/>
    <w:rsid w:val="39243950"/>
    <w:rsid w:val="39285D57"/>
    <w:rsid w:val="39305263"/>
    <w:rsid w:val="394303B9"/>
    <w:rsid w:val="394B6470"/>
    <w:rsid w:val="395B1104"/>
    <w:rsid w:val="395C6EA8"/>
    <w:rsid w:val="39747EC7"/>
    <w:rsid w:val="398031E3"/>
    <w:rsid w:val="39872512"/>
    <w:rsid w:val="39A602F9"/>
    <w:rsid w:val="39BD45C8"/>
    <w:rsid w:val="39C2316A"/>
    <w:rsid w:val="39D733F3"/>
    <w:rsid w:val="39D87563"/>
    <w:rsid w:val="39E8110F"/>
    <w:rsid w:val="39F36281"/>
    <w:rsid w:val="39F81192"/>
    <w:rsid w:val="39FD376D"/>
    <w:rsid w:val="39FD6C9C"/>
    <w:rsid w:val="3A0224B9"/>
    <w:rsid w:val="3A0349B2"/>
    <w:rsid w:val="3A16728B"/>
    <w:rsid w:val="3A16794C"/>
    <w:rsid w:val="3A1F6809"/>
    <w:rsid w:val="3A226969"/>
    <w:rsid w:val="3A286675"/>
    <w:rsid w:val="3A3F47CE"/>
    <w:rsid w:val="3A487FB1"/>
    <w:rsid w:val="3A4E1C5D"/>
    <w:rsid w:val="3A523735"/>
    <w:rsid w:val="3A557AE4"/>
    <w:rsid w:val="3A594078"/>
    <w:rsid w:val="3A5F0BE3"/>
    <w:rsid w:val="3A613D40"/>
    <w:rsid w:val="3A6B0F84"/>
    <w:rsid w:val="3A727435"/>
    <w:rsid w:val="3A813EA6"/>
    <w:rsid w:val="3A94055A"/>
    <w:rsid w:val="3AB00167"/>
    <w:rsid w:val="3AB836A6"/>
    <w:rsid w:val="3ABC496A"/>
    <w:rsid w:val="3AC17E3A"/>
    <w:rsid w:val="3AC4083B"/>
    <w:rsid w:val="3ACB5746"/>
    <w:rsid w:val="3ACD76A7"/>
    <w:rsid w:val="3ACE209E"/>
    <w:rsid w:val="3ACF1A69"/>
    <w:rsid w:val="3AD14283"/>
    <w:rsid w:val="3ADD2B05"/>
    <w:rsid w:val="3AE417E3"/>
    <w:rsid w:val="3AE440AF"/>
    <w:rsid w:val="3AEE0E24"/>
    <w:rsid w:val="3AF7667E"/>
    <w:rsid w:val="3B100AE6"/>
    <w:rsid w:val="3B113F51"/>
    <w:rsid w:val="3B192990"/>
    <w:rsid w:val="3B1F7F57"/>
    <w:rsid w:val="3B253D7E"/>
    <w:rsid w:val="3B2965F0"/>
    <w:rsid w:val="3B2D3716"/>
    <w:rsid w:val="3B307112"/>
    <w:rsid w:val="3B354011"/>
    <w:rsid w:val="3B386133"/>
    <w:rsid w:val="3B3939FB"/>
    <w:rsid w:val="3B3E5BDD"/>
    <w:rsid w:val="3B48093E"/>
    <w:rsid w:val="3B4A0360"/>
    <w:rsid w:val="3B543B9A"/>
    <w:rsid w:val="3B5A2A22"/>
    <w:rsid w:val="3B63785C"/>
    <w:rsid w:val="3B6841B0"/>
    <w:rsid w:val="3B707794"/>
    <w:rsid w:val="3B751B9A"/>
    <w:rsid w:val="3B773A0C"/>
    <w:rsid w:val="3B7804A3"/>
    <w:rsid w:val="3B8443B3"/>
    <w:rsid w:val="3B8B7ED7"/>
    <w:rsid w:val="3B8E2153"/>
    <w:rsid w:val="3B95464E"/>
    <w:rsid w:val="3B9B2072"/>
    <w:rsid w:val="3B9F07E0"/>
    <w:rsid w:val="3BA03B83"/>
    <w:rsid w:val="3BA34296"/>
    <w:rsid w:val="3BB20883"/>
    <w:rsid w:val="3BC05BA8"/>
    <w:rsid w:val="3BC10995"/>
    <w:rsid w:val="3BC34E75"/>
    <w:rsid w:val="3BCB270F"/>
    <w:rsid w:val="3BD96AA6"/>
    <w:rsid w:val="3BDB182F"/>
    <w:rsid w:val="3BE5187F"/>
    <w:rsid w:val="3BED002E"/>
    <w:rsid w:val="3BF227E9"/>
    <w:rsid w:val="3C012D01"/>
    <w:rsid w:val="3C0429BF"/>
    <w:rsid w:val="3C1A201A"/>
    <w:rsid w:val="3C204D27"/>
    <w:rsid w:val="3C2536E9"/>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828D0"/>
    <w:rsid w:val="3CD50970"/>
    <w:rsid w:val="3CDB5F96"/>
    <w:rsid w:val="3CE23F49"/>
    <w:rsid w:val="3CE47078"/>
    <w:rsid w:val="3CE74670"/>
    <w:rsid w:val="3CEC39B8"/>
    <w:rsid w:val="3CF720E3"/>
    <w:rsid w:val="3CF72D6A"/>
    <w:rsid w:val="3CF86D06"/>
    <w:rsid w:val="3D00620E"/>
    <w:rsid w:val="3D025865"/>
    <w:rsid w:val="3D035226"/>
    <w:rsid w:val="3D0C2638"/>
    <w:rsid w:val="3D316CDB"/>
    <w:rsid w:val="3D35707D"/>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CF7004"/>
    <w:rsid w:val="3DDA4B31"/>
    <w:rsid w:val="3DDB67AE"/>
    <w:rsid w:val="3DE90C78"/>
    <w:rsid w:val="3DED0F96"/>
    <w:rsid w:val="3DF95812"/>
    <w:rsid w:val="3DFD28B5"/>
    <w:rsid w:val="3E1A3980"/>
    <w:rsid w:val="3E1D4B24"/>
    <w:rsid w:val="3E235F81"/>
    <w:rsid w:val="3E255C01"/>
    <w:rsid w:val="3E2B1325"/>
    <w:rsid w:val="3E332389"/>
    <w:rsid w:val="3E374A6D"/>
    <w:rsid w:val="3E3A04FA"/>
    <w:rsid w:val="3E3B1403"/>
    <w:rsid w:val="3E3D6B96"/>
    <w:rsid w:val="3E441C7D"/>
    <w:rsid w:val="3E4433E7"/>
    <w:rsid w:val="3E490256"/>
    <w:rsid w:val="3E4C47D8"/>
    <w:rsid w:val="3E4E163C"/>
    <w:rsid w:val="3E4E3E8B"/>
    <w:rsid w:val="3E55739E"/>
    <w:rsid w:val="3E557A55"/>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F2AAC"/>
    <w:rsid w:val="3ED0424C"/>
    <w:rsid w:val="3ED07B7E"/>
    <w:rsid w:val="3ED16FB1"/>
    <w:rsid w:val="3EDA522E"/>
    <w:rsid w:val="3EE63AC0"/>
    <w:rsid w:val="3EEB4E5A"/>
    <w:rsid w:val="3EF31E7F"/>
    <w:rsid w:val="3EF355A5"/>
    <w:rsid w:val="3EF36DF0"/>
    <w:rsid w:val="3EFB0134"/>
    <w:rsid w:val="3F0110D6"/>
    <w:rsid w:val="3F035EE1"/>
    <w:rsid w:val="3F053EF6"/>
    <w:rsid w:val="3F093188"/>
    <w:rsid w:val="3F142BE4"/>
    <w:rsid w:val="3F173F6B"/>
    <w:rsid w:val="3F1E1DE8"/>
    <w:rsid w:val="3F233925"/>
    <w:rsid w:val="3F253B0C"/>
    <w:rsid w:val="3F2C04C4"/>
    <w:rsid w:val="3F374FF9"/>
    <w:rsid w:val="3F3E7C9F"/>
    <w:rsid w:val="3F416B99"/>
    <w:rsid w:val="3F453ADA"/>
    <w:rsid w:val="3F4F5AD7"/>
    <w:rsid w:val="3F643908"/>
    <w:rsid w:val="3F6B75A6"/>
    <w:rsid w:val="3F8C0A49"/>
    <w:rsid w:val="3F8E7DCD"/>
    <w:rsid w:val="3F913853"/>
    <w:rsid w:val="3F9660C3"/>
    <w:rsid w:val="3F9724DD"/>
    <w:rsid w:val="3FA827ED"/>
    <w:rsid w:val="3FB45C58"/>
    <w:rsid w:val="3FBD063E"/>
    <w:rsid w:val="3FC36557"/>
    <w:rsid w:val="3FC956FF"/>
    <w:rsid w:val="3FCA4020"/>
    <w:rsid w:val="3FCE2739"/>
    <w:rsid w:val="3FD13F50"/>
    <w:rsid w:val="3FD858EB"/>
    <w:rsid w:val="3FDC5F31"/>
    <w:rsid w:val="3FE04625"/>
    <w:rsid w:val="3FE86CE8"/>
    <w:rsid w:val="3FF82684"/>
    <w:rsid w:val="3FFB0F66"/>
    <w:rsid w:val="40146E6B"/>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A6BBB"/>
    <w:rsid w:val="40CB14EF"/>
    <w:rsid w:val="40CF543F"/>
    <w:rsid w:val="40EC7D18"/>
    <w:rsid w:val="40ED11A0"/>
    <w:rsid w:val="40FA7F84"/>
    <w:rsid w:val="40FD1BF0"/>
    <w:rsid w:val="41096BC0"/>
    <w:rsid w:val="410A75B6"/>
    <w:rsid w:val="410B452A"/>
    <w:rsid w:val="411251DD"/>
    <w:rsid w:val="41146D26"/>
    <w:rsid w:val="411D1161"/>
    <w:rsid w:val="413353F1"/>
    <w:rsid w:val="4137558E"/>
    <w:rsid w:val="4146047F"/>
    <w:rsid w:val="41513BC9"/>
    <w:rsid w:val="416B4DCF"/>
    <w:rsid w:val="41735B7F"/>
    <w:rsid w:val="41810E86"/>
    <w:rsid w:val="41850830"/>
    <w:rsid w:val="4185372F"/>
    <w:rsid w:val="419658B5"/>
    <w:rsid w:val="419868AD"/>
    <w:rsid w:val="419E60D3"/>
    <w:rsid w:val="41A339F5"/>
    <w:rsid w:val="41A36C7E"/>
    <w:rsid w:val="41A40141"/>
    <w:rsid w:val="41B928D7"/>
    <w:rsid w:val="41BA3A2C"/>
    <w:rsid w:val="41BB3AE7"/>
    <w:rsid w:val="41C93F6C"/>
    <w:rsid w:val="41D540E6"/>
    <w:rsid w:val="41D71584"/>
    <w:rsid w:val="41D75714"/>
    <w:rsid w:val="41DD3BC3"/>
    <w:rsid w:val="41DE47A6"/>
    <w:rsid w:val="41E0049A"/>
    <w:rsid w:val="41E974A1"/>
    <w:rsid w:val="41EE2F03"/>
    <w:rsid w:val="41F466FD"/>
    <w:rsid w:val="41F62234"/>
    <w:rsid w:val="42002BC7"/>
    <w:rsid w:val="42026B03"/>
    <w:rsid w:val="420D197F"/>
    <w:rsid w:val="420F1246"/>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007D7"/>
    <w:rsid w:val="42C30254"/>
    <w:rsid w:val="42C42A08"/>
    <w:rsid w:val="42C769E7"/>
    <w:rsid w:val="42D064B1"/>
    <w:rsid w:val="42D32C4D"/>
    <w:rsid w:val="42D35ABF"/>
    <w:rsid w:val="42D41F6D"/>
    <w:rsid w:val="42DC26BC"/>
    <w:rsid w:val="42DE48A3"/>
    <w:rsid w:val="42E16058"/>
    <w:rsid w:val="42E94F55"/>
    <w:rsid w:val="42ED5B59"/>
    <w:rsid w:val="42F17BF5"/>
    <w:rsid w:val="42F2044D"/>
    <w:rsid w:val="42F8776E"/>
    <w:rsid w:val="42F87EC9"/>
    <w:rsid w:val="42FA45BF"/>
    <w:rsid w:val="430A753E"/>
    <w:rsid w:val="430E7E66"/>
    <w:rsid w:val="431B66D7"/>
    <w:rsid w:val="431E1BAC"/>
    <w:rsid w:val="43233302"/>
    <w:rsid w:val="43254465"/>
    <w:rsid w:val="4332317A"/>
    <w:rsid w:val="433246A0"/>
    <w:rsid w:val="433F6B54"/>
    <w:rsid w:val="4346543A"/>
    <w:rsid w:val="434B65FD"/>
    <w:rsid w:val="43533E29"/>
    <w:rsid w:val="435B1259"/>
    <w:rsid w:val="435C61C5"/>
    <w:rsid w:val="436263D5"/>
    <w:rsid w:val="437556C4"/>
    <w:rsid w:val="43874CD4"/>
    <w:rsid w:val="439B699F"/>
    <w:rsid w:val="43AF2D32"/>
    <w:rsid w:val="43B76E4F"/>
    <w:rsid w:val="43CF0206"/>
    <w:rsid w:val="43D85D6D"/>
    <w:rsid w:val="43E3459F"/>
    <w:rsid w:val="43EC6F1F"/>
    <w:rsid w:val="43FE44BA"/>
    <w:rsid w:val="440D5045"/>
    <w:rsid w:val="440F6C97"/>
    <w:rsid w:val="44300615"/>
    <w:rsid w:val="44371929"/>
    <w:rsid w:val="443740AF"/>
    <w:rsid w:val="443C61BB"/>
    <w:rsid w:val="44480935"/>
    <w:rsid w:val="444851FA"/>
    <w:rsid w:val="445873A3"/>
    <w:rsid w:val="445E4DEE"/>
    <w:rsid w:val="44640994"/>
    <w:rsid w:val="446B0434"/>
    <w:rsid w:val="44756A66"/>
    <w:rsid w:val="447E4EBE"/>
    <w:rsid w:val="447F0CBA"/>
    <w:rsid w:val="448226F3"/>
    <w:rsid w:val="44957F46"/>
    <w:rsid w:val="44994CF5"/>
    <w:rsid w:val="449F21F7"/>
    <w:rsid w:val="44BF7559"/>
    <w:rsid w:val="44CC46BA"/>
    <w:rsid w:val="44DC46EB"/>
    <w:rsid w:val="44E8312D"/>
    <w:rsid w:val="44EA6491"/>
    <w:rsid w:val="44F03F8F"/>
    <w:rsid w:val="44F14ECF"/>
    <w:rsid w:val="44FA23B6"/>
    <w:rsid w:val="451837D5"/>
    <w:rsid w:val="451A120C"/>
    <w:rsid w:val="45252301"/>
    <w:rsid w:val="45275172"/>
    <w:rsid w:val="45306C84"/>
    <w:rsid w:val="45332511"/>
    <w:rsid w:val="453F44DA"/>
    <w:rsid w:val="45412391"/>
    <w:rsid w:val="45412C46"/>
    <w:rsid w:val="45415434"/>
    <w:rsid w:val="454316E5"/>
    <w:rsid w:val="45440AD0"/>
    <w:rsid w:val="454A3E13"/>
    <w:rsid w:val="45514AD5"/>
    <w:rsid w:val="45517AEF"/>
    <w:rsid w:val="4552412E"/>
    <w:rsid w:val="455908C0"/>
    <w:rsid w:val="457002F0"/>
    <w:rsid w:val="45726C25"/>
    <w:rsid w:val="45743BE6"/>
    <w:rsid w:val="4575513B"/>
    <w:rsid w:val="45761EDD"/>
    <w:rsid w:val="45773005"/>
    <w:rsid w:val="457A7286"/>
    <w:rsid w:val="457B06AA"/>
    <w:rsid w:val="457C7D39"/>
    <w:rsid w:val="458667C4"/>
    <w:rsid w:val="4587638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1C2728"/>
    <w:rsid w:val="461D3EDA"/>
    <w:rsid w:val="462066D5"/>
    <w:rsid w:val="46214325"/>
    <w:rsid w:val="463128DD"/>
    <w:rsid w:val="463246EC"/>
    <w:rsid w:val="463425D3"/>
    <w:rsid w:val="463A3547"/>
    <w:rsid w:val="463F2211"/>
    <w:rsid w:val="464514F3"/>
    <w:rsid w:val="46496045"/>
    <w:rsid w:val="464B28C8"/>
    <w:rsid w:val="464E0973"/>
    <w:rsid w:val="46555DC3"/>
    <w:rsid w:val="46560D65"/>
    <w:rsid w:val="46617DB2"/>
    <w:rsid w:val="46621065"/>
    <w:rsid w:val="46665198"/>
    <w:rsid w:val="46697236"/>
    <w:rsid w:val="46770F8B"/>
    <w:rsid w:val="467C16FA"/>
    <w:rsid w:val="467C28B2"/>
    <w:rsid w:val="46831AE2"/>
    <w:rsid w:val="46894B18"/>
    <w:rsid w:val="469448C6"/>
    <w:rsid w:val="46953B12"/>
    <w:rsid w:val="469965DF"/>
    <w:rsid w:val="469A1E62"/>
    <w:rsid w:val="46AB0067"/>
    <w:rsid w:val="46B80AF8"/>
    <w:rsid w:val="46D37F0B"/>
    <w:rsid w:val="46D71533"/>
    <w:rsid w:val="46E53335"/>
    <w:rsid w:val="46ED5319"/>
    <w:rsid w:val="46FF5C70"/>
    <w:rsid w:val="4711788F"/>
    <w:rsid w:val="47155D89"/>
    <w:rsid w:val="473069AF"/>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7F87820"/>
    <w:rsid w:val="47FC2C44"/>
    <w:rsid w:val="48020DE8"/>
    <w:rsid w:val="48023511"/>
    <w:rsid w:val="4808150F"/>
    <w:rsid w:val="480F51A8"/>
    <w:rsid w:val="48133671"/>
    <w:rsid w:val="48256B1B"/>
    <w:rsid w:val="482714E0"/>
    <w:rsid w:val="48282713"/>
    <w:rsid w:val="483914BE"/>
    <w:rsid w:val="483D554C"/>
    <w:rsid w:val="484417FA"/>
    <w:rsid w:val="48450ECE"/>
    <w:rsid w:val="484759CD"/>
    <w:rsid w:val="484B14EC"/>
    <w:rsid w:val="485A1E43"/>
    <w:rsid w:val="485B5064"/>
    <w:rsid w:val="48602710"/>
    <w:rsid w:val="48713351"/>
    <w:rsid w:val="487620DF"/>
    <w:rsid w:val="48802846"/>
    <w:rsid w:val="488260F9"/>
    <w:rsid w:val="48850157"/>
    <w:rsid w:val="48916C74"/>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11FB7"/>
    <w:rsid w:val="48FA15CC"/>
    <w:rsid w:val="4916605C"/>
    <w:rsid w:val="491B63DF"/>
    <w:rsid w:val="491D63E9"/>
    <w:rsid w:val="4920610E"/>
    <w:rsid w:val="4932285C"/>
    <w:rsid w:val="4937272B"/>
    <w:rsid w:val="4937722C"/>
    <w:rsid w:val="49384E02"/>
    <w:rsid w:val="493901B6"/>
    <w:rsid w:val="493E2F78"/>
    <w:rsid w:val="493F7B37"/>
    <w:rsid w:val="494049CC"/>
    <w:rsid w:val="49411EAF"/>
    <w:rsid w:val="495217DF"/>
    <w:rsid w:val="49572F75"/>
    <w:rsid w:val="4958367A"/>
    <w:rsid w:val="495A044A"/>
    <w:rsid w:val="497206BF"/>
    <w:rsid w:val="497C7C92"/>
    <w:rsid w:val="498817B3"/>
    <w:rsid w:val="498A16CD"/>
    <w:rsid w:val="498A7DD4"/>
    <w:rsid w:val="499C7517"/>
    <w:rsid w:val="499E07E8"/>
    <w:rsid w:val="49A14359"/>
    <w:rsid w:val="49A33C27"/>
    <w:rsid w:val="49A34401"/>
    <w:rsid w:val="49A750B5"/>
    <w:rsid w:val="49AB1A6B"/>
    <w:rsid w:val="49BE07DA"/>
    <w:rsid w:val="49C62636"/>
    <w:rsid w:val="49C84AA0"/>
    <w:rsid w:val="49CE3923"/>
    <w:rsid w:val="49CF11BE"/>
    <w:rsid w:val="49D7694D"/>
    <w:rsid w:val="49E234CC"/>
    <w:rsid w:val="49EC3531"/>
    <w:rsid w:val="49EE7672"/>
    <w:rsid w:val="49EE7CDB"/>
    <w:rsid w:val="49F152D3"/>
    <w:rsid w:val="49F8312B"/>
    <w:rsid w:val="4A0244D3"/>
    <w:rsid w:val="4A0B3920"/>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B53C8E"/>
    <w:rsid w:val="4AC13295"/>
    <w:rsid w:val="4AC31003"/>
    <w:rsid w:val="4AC40F4C"/>
    <w:rsid w:val="4ACC05C3"/>
    <w:rsid w:val="4ACC44B7"/>
    <w:rsid w:val="4AD25F33"/>
    <w:rsid w:val="4ADD641F"/>
    <w:rsid w:val="4ADF3B16"/>
    <w:rsid w:val="4AE072CB"/>
    <w:rsid w:val="4AE1398C"/>
    <w:rsid w:val="4AE93159"/>
    <w:rsid w:val="4AE951C1"/>
    <w:rsid w:val="4AF02EA1"/>
    <w:rsid w:val="4AF86E0A"/>
    <w:rsid w:val="4B174032"/>
    <w:rsid w:val="4B227C49"/>
    <w:rsid w:val="4B2444D5"/>
    <w:rsid w:val="4B250CF8"/>
    <w:rsid w:val="4B2873FD"/>
    <w:rsid w:val="4B2E0668"/>
    <w:rsid w:val="4B3C6133"/>
    <w:rsid w:val="4B3D4DE9"/>
    <w:rsid w:val="4B7727E1"/>
    <w:rsid w:val="4B7C4100"/>
    <w:rsid w:val="4B8015D1"/>
    <w:rsid w:val="4B830F9B"/>
    <w:rsid w:val="4B8A54FE"/>
    <w:rsid w:val="4B8F2DD0"/>
    <w:rsid w:val="4B9B06E8"/>
    <w:rsid w:val="4B9B0C47"/>
    <w:rsid w:val="4B9D4011"/>
    <w:rsid w:val="4BB36BDD"/>
    <w:rsid w:val="4BB60507"/>
    <w:rsid w:val="4BC32290"/>
    <w:rsid w:val="4BD0339A"/>
    <w:rsid w:val="4BD41FD1"/>
    <w:rsid w:val="4BF11B57"/>
    <w:rsid w:val="4BF23C29"/>
    <w:rsid w:val="4BF32495"/>
    <w:rsid w:val="4BF70858"/>
    <w:rsid w:val="4BF838F0"/>
    <w:rsid w:val="4BFA3FA2"/>
    <w:rsid w:val="4C05747D"/>
    <w:rsid w:val="4C065916"/>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923A72"/>
    <w:rsid w:val="4C9B5631"/>
    <w:rsid w:val="4CB836A9"/>
    <w:rsid w:val="4CB96B0F"/>
    <w:rsid w:val="4CBD582C"/>
    <w:rsid w:val="4CC82D24"/>
    <w:rsid w:val="4CD84F4C"/>
    <w:rsid w:val="4CE34E9F"/>
    <w:rsid w:val="4CF52D94"/>
    <w:rsid w:val="4CFE5028"/>
    <w:rsid w:val="4D0B5968"/>
    <w:rsid w:val="4D19368B"/>
    <w:rsid w:val="4D462159"/>
    <w:rsid w:val="4D47409F"/>
    <w:rsid w:val="4D4F06AA"/>
    <w:rsid w:val="4D525BE3"/>
    <w:rsid w:val="4D566017"/>
    <w:rsid w:val="4D6022FC"/>
    <w:rsid w:val="4D695FF9"/>
    <w:rsid w:val="4D7D3EFB"/>
    <w:rsid w:val="4D866DE7"/>
    <w:rsid w:val="4D8B0123"/>
    <w:rsid w:val="4D931B47"/>
    <w:rsid w:val="4DAF14C5"/>
    <w:rsid w:val="4DB9067A"/>
    <w:rsid w:val="4DC3281F"/>
    <w:rsid w:val="4DC605B6"/>
    <w:rsid w:val="4DCB146F"/>
    <w:rsid w:val="4DD732D2"/>
    <w:rsid w:val="4DEC0985"/>
    <w:rsid w:val="4DED0897"/>
    <w:rsid w:val="4DF85277"/>
    <w:rsid w:val="4E024AB6"/>
    <w:rsid w:val="4E0538A3"/>
    <w:rsid w:val="4E0E6818"/>
    <w:rsid w:val="4E27683A"/>
    <w:rsid w:val="4E321D35"/>
    <w:rsid w:val="4E397241"/>
    <w:rsid w:val="4E46667C"/>
    <w:rsid w:val="4E4B2B03"/>
    <w:rsid w:val="4E4C4D02"/>
    <w:rsid w:val="4E4C50A3"/>
    <w:rsid w:val="4E4F1509"/>
    <w:rsid w:val="4E510698"/>
    <w:rsid w:val="4E576363"/>
    <w:rsid w:val="4E5D49B1"/>
    <w:rsid w:val="4E635567"/>
    <w:rsid w:val="4E674786"/>
    <w:rsid w:val="4E6E0A65"/>
    <w:rsid w:val="4E742982"/>
    <w:rsid w:val="4E782283"/>
    <w:rsid w:val="4E7F1E8F"/>
    <w:rsid w:val="4E7F5AF4"/>
    <w:rsid w:val="4E801980"/>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85975"/>
    <w:rsid w:val="4F2A7BF3"/>
    <w:rsid w:val="4F2E2624"/>
    <w:rsid w:val="4F38184E"/>
    <w:rsid w:val="4F4B6E23"/>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90474"/>
    <w:rsid w:val="504C77D2"/>
    <w:rsid w:val="504E004A"/>
    <w:rsid w:val="50560460"/>
    <w:rsid w:val="50573FEC"/>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418CD"/>
    <w:rsid w:val="517423E2"/>
    <w:rsid w:val="51781A83"/>
    <w:rsid w:val="517F7897"/>
    <w:rsid w:val="51802CA0"/>
    <w:rsid w:val="5183799A"/>
    <w:rsid w:val="51867298"/>
    <w:rsid w:val="51894D69"/>
    <w:rsid w:val="518D21E1"/>
    <w:rsid w:val="51930297"/>
    <w:rsid w:val="51953936"/>
    <w:rsid w:val="519E116A"/>
    <w:rsid w:val="51A2793A"/>
    <w:rsid w:val="51AD2B9C"/>
    <w:rsid w:val="51B31927"/>
    <w:rsid w:val="51BA0CB7"/>
    <w:rsid w:val="51C41A0B"/>
    <w:rsid w:val="51C44E20"/>
    <w:rsid w:val="51CF2D5C"/>
    <w:rsid w:val="51D129CA"/>
    <w:rsid w:val="51D93F8A"/>
    <w:rsid w:val="51DA55B9"/>
    <w:rsid w:val="51DC16DA"/>
    <w:rsid w:val="51E5046A"/>
    <w:rsid w:val="52020133"/>
    <w:rsid w:val="520222D8"/>
    <w:rsid w:val="52030FB3"/>
    <w:rsid w:val="52272B85"/>
    <w:rsid w:val="52284E31"/>
    <w:rsid w:val="52311C57"/>
    <w:rsid w:val="523E09B5"/>
    <w:rsid w:val="525B2ABB"/>
    <w:rsid w:val="52687B2A"/>
    <w:rsid w:val="526E0E82"/>
    <w:rsid w:val="527901C6"/>
    <w:rsid w:val="528043E7"/>
    <w:rsid w:val="528A0579"/>
    <w:rsid w:val="528F4A24"/>
    <w:rsid w:val="52944BB6"/>
    <w:rsid w:val="529F2FF6"/>
    <w:rsid w:val="52A24532"/>
    <w:rsid w:val="52B3363A"/>
    <w:rsid w:val="52B668EB"/>
    <w:rsid w:val="52B91E49"/>
    <w:rsid w:val="52BD5237"/>
    <w:rsid w:val="52C312BC"/>
    <w:rsid w:val="52C4763C"/>
    <w:rsid w:val="52DE691D"/>
    <w:rsid w:val="52E04D27"/>
    <w:rsid w:val="52E16254"/>
    <w:rsid w:val="52E501E0"/>
    <w:rsid w:val="52ED0C96"/>
    <w:rsid w:val="52F53FAD"/>
    <w:rsid w:val="53061721"/>
    <w:rsid w:val="53096FE2"/>
    <w:rsid w:val="530C0E6B"/>
    <w:rsid w:val="530D1C98"/>
    <w:rsid w:val="531A5380"/>
    <w:rsid w:val="531F0245"/>
    <w:rsid w:val="53227B62"/>
    <w:rsid w:val="532F77EA"/>
    <w:rsid w:val="53367575"/>
    <w:rsid w:val="533933AA"/>
    <w:rsid w:val="533B7F54"/>
    <w:rsid w:val="535009E1"/>
    <w:rsid w:val="535321C1"/>
    <w:rsid w:val="53650168"/>
    <w:rsid w:val="536662B9"/>
    <w:rsid w:val="536C2A29"/>
    <w:rsid w:val="53874195"/>
    <w:rsid w:val="538859E4"/>
    <w:rsid w:val="538E3092"/>
    <w:rsid w:val="5398565C"/>
    <w:rsid w:val="539B01A9"/>
    <w:rsid w:val="539F394B"/>
    <w:rsid w:val="53A20FFA"/>
    <w:rsid w:val="53A233E4"/>
    <w:rsid w:val="53A94C48"/>
    <w:rsid w:val="53AA7BC7"/>
    <w:rsid w:val="53AE5EA5"/>
    <w:rsid w:val="53AF1E0C"/>
    <w:rsid w:val="53B00B1F"/>
    <w:rsid w:val="53B2409D"/>
    <w:rsid w:val="53B31E73"/>
    <w:rsid w:val="53B556BD"/>
    <w:rsid w:val="53B66A75"/>
    <w:rsid w:val="53BB21EB"/>
    <w:rsid w:val="53D6247A"/>
    <w:rsid w:val="53DB3477"/>
    <w:rsid w:val="53DE00FF"/>
    <w:rsid w:val="53E77CBF"/>
    <w:rsid w:val="53E92771"/>
    <w:rsid w:val="53F16BC7"/>
    <w:rsid w:val="53FE7128"/>
    <w:rsid w:val="540E3642"/>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56DF4"/>
    <w:rsid w:val="54B93943"/>
    <w:rsid w:val="54BE5578"/>
    <w:rsid w:val="54BF52B5"/>
    <w:rsid w:val="54D202CA"/>
    <w:rsid w:val="54D54E59"/>
    <w:rsid w:val="54DD41DB"/>
    <w:rsid w:val="54E0050A"/>
    <w:rsid w:val="54E106CE"/>
    <w:rsid w:val="54E358FF"/>
    <w:rsid w:val="54ED3D78"/>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748F2"/>
    <w:rsid w:val="554D414C"/>
    <w:rsid w:val="554E7279"/>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2B7EE9"/>
    <w:rsid w:val="5632642A"/>
    <w:rsid w:val="56375B61"/>
    <w:rsid w:val="564944F4"/>
    <w:rsid w:val="564D4C5B"/>
    <w:rsid w:val="564E5820"/>
    <w:rsid w:val="56594C9E"/>
    <w:rsid w:val="56630C00"/>
    <w:rsid w:val="56687250"/>
    <w:rsid w:val="566D184E"/>
    <w:rsid w:val="56763C45"/>
    <w:rsid w:val="567739D2"/>
    <w:rsid w:val="56775A0A"/>
    <w:rsid w:val="567F6E75"/>
    <w:rsid w:val="5686536D"/>
    <w:rsid w:val="568B1DB1"/>
    <w:rsid w:val="569600BA"/>
    <w:rsid w:val="56A55214"/>
    <w:rsid w:val="56A67978"/>
    <w:rsid w:val="56AC63C5"/>
    <w:rsid w:val="56C008D5"/>
    <w:rsid w:val="56C1700B"/>
    <w:rsid w:val="56C34302"/>
    <w:rsid w:val="56C35508"/>
    <w:rsid w:val="56C440E6"/>
    <w:rsid w:val="56D25618"/>
    <w:rsid w:val="56D5793F"/>
    <w:rsid w:val="56D7644B"/>
    <w:rsid w:val="56E84A97"/>
    <w:rsid w:val="56FB2A68"/>
    <w:rsid w:val="56FE1A50"/>
    <w:rsid w:val="57011F3E"/>
    <w:rsid w:val="5705646B"/>
    <w:rsid w:val="57060649"/>
    <w:rsid w:val="570B3C8D"/>
    <w:rsid w:val="570E2129"/>
    <w:rsid w:val="571A1955"/>
    <w:rsid w:val="572657E3"/>
    <w:rsid w:val="5732705F"/>
    <w:rsid w:val="57351D6F"/>
    <w:rsid w:val="573D052D"/>
    <w:rsid w:val="57454F4D"/>
    <w:rsid w:val="57466C3E"/>
    <w:rsid w:val="574F4CF2"/>
    <w:rsid w:val="57637240"/>
    <w:rsid w:val="576476C1"/>
    <w:rsid w:val="576F457F"/>
    <w:rsid w:val="57724CC0"/>
    <w:rsid w:val="57770501"/>
    <w:rsid w:val="577B3337"/>
    <w:rsid w:val="577D4F28"/>
    <w:rsid w:val="577D7163"/>
    <w:rsid w:val="5782068C"/>
    <w:rsid w:val="57877FD2"/>
    <w:rsid w:val="578F4D33"/>
    <w:rsid w:val="57996949"/>
    <w:rsid w:val="57A33734"/>
    <w:rsid w:val="57AB6ADD"/>
    <w:rsid w:val="57AC2A28"/>
    <w:rsid w:val="57B7178E"/>
    <w:rsid w:val="57B76EED"/>
    <w:rsid w:val="57BD72A7"/>
    <w:rsid w:val="57BE5838"/>
    <w:rsid w:val="57D16146"/>
    <w:rsid w:val="57D82354"/>
    <w:rsid w:val="57EB3AC0"/>
    <w:rsid w:val="57EB6DC4"/>
    <w:rsid w:val="57FC07D9"/>
    <w:rsid w:val="57FF6992"/>
    <w:rsid w:val="580B408B"/>
    <w:rsid w:val="580F1B21"/>
    <w:rsid w:val="58191E63"/>
    <w:rsid w:val="581B7E79"/>
    <w:rsid w:val="58442BF1"/>
    <w:rsid w:val="58500F22"/>
    <w:rsid w:val="58510734"/>
    <w:rsid w:val="58527FAB"/>
    <w:rsid w:val="585516AC"/>
    <w:rsid w:val="58587379"/>
    <w:rsid w:val="586D57A3"/>
    <w:rsid w:val="587917A0"/>
    <w:rsid w:val="587A4288"/>
    <w:rsid w:val="587B662F"/>
    <w:rsid w:val="587D473C"/>
    <w:rsid w:val="5880052B"/>
    <w:rsid w:val="588E76C9"/>
    <w:rsid w:val="589571D3"/>
    <w:rsid w:val="58AD27D9"/>
    <w:rsid w:val="58AD42B1"/>
    <w:rsid w:val="58B169A2"/>
    <w:rsid w:val="58B6512E"/>
    <w:rsid w:val="58B9636C"/>
    <w:rsid w:val="58C37133"/>
    <w:rsid w:val="58C93046"/>
    <w:rsid w:val="58D36BCB"/>
    <w:rsid w:val="58D643B4"/>
    <w:rsid w:val="58D7351E"/>
    <w:rsid w:val="58E6349C"/>
    <w:rsid w:val="58EF63EE"/>
    <w:rsid w:val="58FF32D0"/>
    <w:rsid w:val="590317F0"/>
    <w:rsid w:val="59032417"/>
    <w:rsid w:val="590528AD"/>
    <w:rsid w:val="59075000"/>
    <w:rsid w:val="59164C99"/>
    <w:rsid w:val="591878D4"/>
    <w:rsid w:val="592077C9"/>
    <w:rsid w:val="592A35DE"/>
    <w:rsid w:val="593559FD"/>
    <w:rsid w:val="594079B2"/>
    <w:rsid w:val="59410047"/>
    <w:rsid w:val="594B10BF"/>
    <w:rsid w:val="594E7013"/>
    <w:rsid w:val="59507D05"/>
    <w:rsid w:val="59522196"/>
    <w:rsid w:val="596726D9"/>
    <w:rsid w:val="596833A7"/>
    <w:rsid w:val="596A688E"/>
    <w:rsid w:val="59835A6C"/>
    <w:rsid w:val="59843114"/>
    <w:rsid w:val="5987482A"/>
    <w:rsid w:val="598C6F19"/>
    <w:rsid w:val="59931352"/>
    <w:rsid w:val="599B1691"/>
    <w:rsid w:val="599C49A8"/>
    <w:rsid w:val="599E0097"/>
    <w:rsid w:val="59A04DAD"/>
    <w:rsid w:val="59A36725"/>
    <w:rsid w:val="59B21BF9"/>
    <w:rsid w:val="59BA46A2"/>
    <w:rsid w:val="59BB4EA3"/>
    <w:rsid w:val="59CD78E2"/>
    <w:rsid w:val="59CF48AD"/>
    <w:rsid w:val="59DC61CB"/>
    <w:rsid w:val="59E9525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7590A"/>
    <w:rsid w:val="5A8E6670"/>
    <w:rsid w:val="5A912613"/>
    <w:rsid w:val="5A923F1B"/>
    <w:rsid w:val="5A9245E9"/>
    <w:rsid w:val="5A953D41"/>
    <w:rsid w:val="5A9A4D4B"/>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B141085"/>
    <w:rsid w:val="5B28192B"/>
    <w:rsid w:val="5B32616A"/>
    <w:rsid w:val="5B342BAD"/>
    <w:rsid w:val="5B4007EF"/>
    <w:rsid w:val="5B424EC5"/>
    <w:rsid w:val="5B495A92"/>
    <w:rsid w:val="5B4D1F7C"/>
    <w:rsid w:val="5B564EFB"/>
    <w:rsid w:val="5B583BEB"/>
    <w:rsid w:val="5B594E50"/>
    <w:rsid w:val="5B6667A3"/>
    <w:rsid w:val="5B66707B"/>
    <w:rsid w:val="5B673066"/>
    <w:rsid w:val="5B676B3B"/>
    <w:rsid w:val="5B690719"/>
    <w:rsid w:val="5B6A48A8"/>
    <w:rsid w:val="5B731FA9"/>
    <w:rsid w:val="5B745BFD"/>
    <w:rsid w:val="5B785E83"/>
    <w:rsid w:val="5B7C1CD1"/>
    <w:rsid w:val="5B8064F6"/>
    <w:rsid w:val="5B882E2D"/>
    <w:rsid w:val="5B9004A9"/>
    <w:rsid w:val="5B907C6C"/>
    <w:rsid w:val="5B9251EF"/>
    <w:rsid w:val="5BAB5BC4"/>
    <w:rsid w:val="5BB20B74"/>
    <w:rsid w:val="5BC677D8"/>
    <w:rsid w:val="5BC82981"/>
    <w:rsid w:val="5BDF3167"/>
    <w:rsid w:val="5BE15701"/>
    <w:rsid w:val="5BE6235A"/>
    <w:rsid w:val="5BEB0120"/>
    <w:rsid w:val="5BEC175C"/>
    <w:rsid w:val="5C097C4E"/>
    <w:rsid w:val="5C0D717D"/>
    <w:rsid w:val="5C1A3A93"/>
    <w:rsid w:val="5C1C16CF"/>
    <w:rsid w:val="5C235386"/>
    <w:rsid w:val="5C277EFF"/>
    <w:rsid w:val="5C3A76D7"/>
    <w:rsid w:val="5C3B6CFC"/>
    <w:rsid w:val="5C3C1AE5"/>
    <w:rsid w:val="5C4A34F9"/>
    <w:rsid w:val="5C4C2CF4"/>
    <w:rsid w:val="5C5A7F10"/>
    <w:rsid w:val="5C6422CD"/>
    <w:rsid w:val="5C6B1600"/>
    <w:rsid w:val="5C7D70D1"/>
    <w:rsid w:val="5C8542A8"/>
    <w:rsid w:val="5C9F41E0"/>
    <w:rsid w:val="5CA6294E"/>
    <w:rsid w:val="5CA73892"/>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25F29"/>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C1266"/>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64876"/>
    <w:rsid w:val="5E5D7D0E"/>
    <w:rsid w:val="5E64345A"/>
    <w:rsid w:val="5E670AC9"/>
    <w:rsid w:val="5E6A5399"/>
    <w:rsid w:val="5E704921"/>
    <w:rsid w:val="5E71373F"/>
    <w:rsid w:val="5E717191"/>
    <w:rsid w:val="5E761147"/>
    <w:rsid w:val="5E812F0A"/>
    <w:rsid w:val="5E830708"/>
    <w:rsid w:val="5E831398"/>
    <w:rsid w:val="5E85633A"/>
    <w:rsid w:val="5E87234E"/>
    <w:rsid w:val="5E921A45"/>
    <w:rsid w:val="5E975993"/>
    <w:rsid w:val="5EA627AF"/>
    <w:rsid w:val="5EA91D5E"/>
    <w:rsid w:val="5EB07A41"/>
    <w:rsid w:val="5EB51FDE"/>
    <w:rsid w:val="5EBA4472"/>
    <w:rsid w:val="5EC3227D"/>
    <w:rsid w:val="5ECA3D37"/>
    <w:rsid w:val="5ED80DFD"/>
    <w:rsid w:val="5EDD3751"/>
    <w:rsid w:val="5EE153F8"/>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875C0C"/>
    <w:rsid w:val="5F8F0B9E"/>
    <w:rsid w:val="5F8F267A"/>
    <w:rsid w:val="5F9573DD"/>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30C17"/>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40431"/>
    <w:rsid w:val="607C3753"/>
    <w:rsid w:val="607E2BDE"/>
    <w:rsid w:val="608179A6"/>
    <w:rsid w:val="60875A6C"/>
    <w:rsid w:val="60895CED"/>
    <w:rsid w:val="608A554D"/>
    <w:rsid w:val="608D1D4E"/>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21108E"/>
    <w:rsid w:val="613F1997"/>
    <w:rsid w:val="61421EFD"/>
    <w:rsid w:val="61457124"/>
    <w:rsid w:val="61507CAF"/>
    <w:rsid w:val="615C5041"/>
    <w:rsid w:val="61631B5D"/>
    <w:rsid w:val="617874FC"/>
    <w:rsid w:val="617A6EE7"/>
    <w:rsid w:val="617E7C88"/>
    <w:rsid w:val="6182260C"/>
    <w:rsid w:val="61856262"/>
    <w:rsid w:val="61995860"/>
    <w:rsid w:val="61996169"/>
    <w:rsid w:val="619B60ED"/>
    <w:rsid w:val="61A773BF"/>
    <w:rsid w:val="61AD68BC"/>
    <w:rsid w:val="61AE5BE1"/>
    <w:rsid w:val="61B173D2"/>
    <w:rsid w:val="61D43510"/>
    <w:rsid w:val="61D43A2B"/>
    <w:rsid w:val="61E34474"/>
    <w:rsid w:val="61FF316E"/>
    <w:rsid w:val="621542CB"/>
    <w:rsid w:val="62172EDA"/>
    <w:rsid w:val="62363666"/>
    <w:rsid w:val="623E513D"/>
    <w:rsid w:val="623F0B7F"/>
    <w:rsid w:val="624263A2"/>
    <w:rsid w:val="625272C3"/>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EF1165"/>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9E69EA"/>
    <w:rsid w:val="63A163DD"/>
    <w:rsid w:val="63B82D87"/>
    <w:rsid w:val="63BA3154"/>
    <w:rsid w:val="63C948C4"/>
    <w:rsid w:val="63CA2E8B"/>
    <w:rsid w:val="63D4153E"/>
    <w:rsid w:val="63DC7755"/>
    <w:rsid w:val="63E05970"/>
    <w:rsid w:val="63E43D21"/>
    <w:rsid w:val="63E97377"/>
    <w:rsid w:val="63EA4DF9"/>
    <w:rsid w:val="63F47D2A"/>
    <w:rsid w:val="63FE2D33"/>
    <w:rsid w:val="64046427"/>
    <w:rsid w:val="64264A79"/>
    <w:rsid w:val="64290161"/>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B53322"/>
    <w:rsid w:val="64C45DE1"/>
    <w:rsid w:val="64C61AF8"/>
    <w:rsid w:val="64C70058"/>
    <w:rsid w:val="64C86505"/>
    <w:rsid w:val="64E44AA8"/>
    <w:rsid w:val="64EC5D31"/>
    <w:rsid w:val="64F132B2"/>
    <w:rsid w:val="64FE700F"/>
    <w:rsid w:val="6500327F"/>
    <w:rsid w:val="6506609B"/>
    <w:rsid w:val="65083216"/>
    <w:rsid w:val="6508621E"/>
    <w:rsid w:val="65092761"/>
    <w:rsid w:val="65173B4C"/>
    <w:rsid w:val="651E5395"/>
    <w:rsid w:val="653300A4"/>
    <w:rsid w:val="65460728"/>
    <w:rsid w:val="655A04C2"/>
    <w:rsid w:val="656C74F3"/>
    <w:rsid w:val="657401A4"/>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D21E90"/>
    <w:rsid w:val="65D23D59"/>
    <w:rsid w:val="65D4773F"/>
    <w:rsid w:val="65DC5939"/>
    <w:rsid w:val="65DC7985"/>
    <w:rsid w:val="65E671BD"/>
    <w:rsid w:val="65F14641"/>
    <w:rsid w:val="65F5655C"/>
    <w:rsid w:val="65F64F18"/>
    <w:rsid w:val="66052F43"/>
    <w:rsid w:val="6609487E"/>
    <w:rsid w:val="66143184"/>
    <w:rsid w:val="661D25CE"/>
    <w:rsid w:val="66206CF2"/>
    <w:rsid w:val="66244029"/>
    <w:rsid w:val="66265846"/>
    <w:rsid w:val="66287C9C"/>
    <w:rsid w:val="662D4566"/>
    <w:rsid w:val="662E4097"/>
    <w:rsid w:val="66377785"/>
    <w:rsid w:val="664470E3"/>
    <w:rsid w:val="66475F5D"/>
    <w:rsid w:val="664805B8"/>
    <w:rsid w:val="665572E9"/>
    <w:rsid w:val="665A078F"/>
    <w:rsid w:val="665B55EA"/>
    <w:rsid w:val="66641D58"/>
    <w:rsid w:val="66655F85"/>
    <w:rsid w:val="666B2C5E"/>
    <w:rsid w:val="667C7AEC"/>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A69AB"/>
    <w:rsid w:val="67CC7709"/>
    <w:rsid w:val="67D92E70"/>
    <w:rsid w:val="67E97887"/>
    <w:rsid w:val="67EF299C"/>
    <w:rsid w:val="67F45538"/>
    <w:rsid w:val="67F66B9D"/>
    <w:rsid w:val="680239EB"/>
    <w:rsid w:val="680722DA"/>
    <w:rsid w:val="6809309C"/>
    <w:rsid w:val="68120E37"/>
    <w:rsid w:val="68120FE3"/>
    <w:rsid w:val="681306CB"/>
    <w:rsid w:val="682211D1"/>
    <w:rsid w:val="684B40A8"/>
    <w:rsid w:val="685B4737"/>
    <w:rsid w:val="685C6395"/>
    <w:rsid w:val="686318DD"/>
    <w:rsid w:val="68635145"/>
    <w:rsid w:val="687F607E"/>
    <w:rsid w:val="68814054"/>
    <w:rsid w:val="688C4213"/>
    <w:rsid w:val="688D4D1E"/>
    <w:rsid w:val="68916B30"/>
    <w:rsid w:val="68950378"/>
    <w:rsid w:val="6895561A"/>
    <w:rsid w:val="68984999"/>
    <w:rsid w:val="689A41FB"/>
    <w:rsid w:val="689C2BAE"/>
    <w:rsid w:val="689E57F0"/>
    <w:rsid w:val="68A34C5C"/>
    <w:rsid w:val="68A70F3F"/>
    <w:rsid w:val="68A9069F"/>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D306AC"/>
    <w:rsid w:val="69D34F66"/>
    <w:rsid w:val="69E00E47"/>
    <w:rsid w:val="69E54844"/>
    <w:rsid w:val="69EC6D9F"/>
    <w:rsid w:val="69F0745A"/>
    <w:rsid w:val="69F66961"/>
    <w:rsid w:val="6A0868C0"/>
    <w:rsid w:val="6A0961EA"/>
    <w:rsid w:val="6A0D20F2"/>
    <w:rsid w:val="6A1742A1"/>
    <w:rsid w:val="6A1C4CE3"/>
    <w:rsid w:val="6A1D59EC"/>
    <w:rsid w:val="6A2353D4"/>
    <w:rsid w:val="6A247F72"/>
    <w:rsid w:val="6A313CAB"/>
    <w:rsid w:val="6A3E2393"/>
    <w:rsid w:val="6A435B92"/>
    <w:rsid w:val="6A444DB8"/>
    <w:rsid w:val="6A4D4828"/>
    <w:rsid w:val="6A4D6D96"/>
    <w:rsid w:val="6A516AC3"/>
    <w:rsid w:val="6A5303BA"/>
    <w:rsid w:val="6A5F3F1C"/>
    <w:rsid w:val="6A677080"/>
    <w:rsid w:val="6A6C5C1E"/>
    <w:rsid w:val="6A711183"/>
    <w:rsid w:val="6A7468D5"/>
    <w:rsid w:val="6A790E3A"/>
    <w:rsid w:val="6A7B4B9C"/>
    <w:rsid w:val="6A7C2F81"/>
    <w:rsid w:val="6A84768F"/>
    <w:rsid w:val="6A8B2D2D"/>
    <w:rsid w:val="6A917541"/>
    <w:rsid w:val="6A9C00F5"/>
    <w:rsid w:val="6AA35330"/>
    <w:rsid w:val="6AAC0B91"/>
    <w:rsid w:val="6AAF014C"/>
    <w:rsid w:val="6AC07690"/>
    <w:rsid w:val="6ACB082B"/>
    <w:rsid w:val="6AD3247E"/>
    <w:rsid w:val="6AD716BA"/>
    <w:rsid w:val="6AE21187"/>
    <w:rsid w:val="6AE362EB"/>
    <w:rsid w:val="6AE4699C"/>
    <w:rsid w:val="6AF124EA"/>
    <w:rsid w:val="6AF317C6"/>
    <w:rsid w:val="6AF64D9A"/>
    <w:rsid w:val="6B0017C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980714"/>
    <w:rsid w:val="6BA36FED"/>
    <w:rsid w:val="6BA6663C"/>
    <w:rsid w:val="6BA9194F"/>
    <w:rsid w:val="6BB81A6C"/>
    <w:rsid w:val="6BE51CE3"/>
    <w:rsid w:val="6BE622E5"/>
    <w:rsid w:val="6BE727F5"/>
    <w:rsid w:val="6C0858B3"/>
    <w:rsid w:val="6C1134DA"/>
    <w:rsid w:val="6C240DF3"/>
    <w:rsid w:val="6C41527C"/>
    <w:rsid w:val="6C45610F"/>
    <w:rsid w:val="6C4E2F0F"/>
    <w:rsid w:val="6C550EC6"/>
    <w:rsid w:val="6C573C4E"/>
    <w:rsid w:val="6C59472D"/>
    <w:rsid w:val="6C5A4564"/>
    <w:rsid w:val="6C5E0510"/>
    <w:rsid w:val="6C603744"/>
    <w:rsid w:val="6C610784"/>
    <w:rsid w:val="6C637CCF"/>
    <w:rsid w:val="6C7216FC"/>
    <w:rsid w:val="6C731C6C"/>
    <w:rsid w:val="6C733992"/>
    <w:rsid w:val="6C7802EB"/>
    <w:rsid w:val="6C89456C"/>
    <w:rsid w:val="6C9611B5"/>
    <w:rsid w:val="6C9F4042"/>
    <w:rsid w:val="6CA20D5B"/>
    <w:rsid w:val="6CB71894"/>
    <w:rsid w:val="6CD31019"/>
    <w:rsid w:val="6CD431E3"/>
    <w:rsid w:val="6CD50C99"/>
    <w:rsid w:val="6CD63FB3"/>
    <w:rsid w:val="6CDD06CC"/>
    <w:rsid w:val="6CDF2E4F"/>
    <w:rsid w:val="6CFE035F"/>
    <w:rsid w:val="6CFF5623"/>
    <w:rsid w:val="6D056EA6"/>
    <w:rsid w:val="6D13119B"/>
    <w:rsid w:val="6D1766A9"/>
    <w:rsid w:val="6D1F7E14"/>
    <w:rsid w:val="6D221E52"/>
    <w:rsid w:val="6D227835"/>
    <w:rsid w:val="6D2663D9"/>
    <w:rsid w:val="6D2834C8"/>
    <w:rsid w:val="6D2F1F0B"/>
    <w:rsid w:val="6D3C6626"/>
    <w:rsid w:val="6D3E495C"/>
    <w:rsid w:val="6D456747"/>
    <w:rsid w:val="6D5D0DB5"/>
    <w:rsid w:val="6D67401B"/>
    <w:rsid w:val="6D6855B1"/>
    <w:rsid w:val="6D7B4AB7"/>
    <w:rsid w:val="6D836C02"/>
    <w:rsid w:val="6D874AC3"/>
    <w:rsid w:val="6D89784B"/>
    <w:rsid w:val="6D9057BE"/>
    <w:rsid w:val="6D9E0566"/>
    <w:rsid w:val="6DB10625"/>
    <w:rsid w:val="6DB8732C"/>
    <w:rsid w:val="6DBA52B1"/>
    <w:rsid w:val="6DBE7F27"/>
    <w:rsid w:val="6DCF21B6"/>
    <w:rsid w:val="6DD13295"/>
    <w:rsid w:val="6DDC5249"/>
    <w:rsid w:val="6DF43BD4"/>
    <w:rsid w:val="6DF645F4"/>
    <w:rsid w:val="6E0E1FAB"/>
    <w:rsid w:val="6E1D22B5"/>
    <w:rsid w:val="6E2143FB"/>
    <w:rsid w:val="6E2241BE"/>
    <w:rsid w:val="6E235490"/>
    <w:rsid w:val="6E317378"/>
    <w:rsid w:val="6E35795C"/>
    <w:rsid w:val="6E374904"/>
    <w:rsid w:val="6E3C077F"/>
    <w:rsid w:val="6E3E5591"/>
    <w:rsid w:val="6E4215C6"/>
    <w:rsid w:val="6E437F76"/>
    <w:rsid w:val="6E4674C3"/>
    <w:rsid w:val="6E4B0158"/>
    <w:rsid w:val="6E4D611F"/>
    <w:rsid w:val="6E541F70"/>
    <w:rsid w:val="6E567C9E"/>
    <w:rsid w:val="6E574242"/>
    <w:rsid w:val="6E635028"/>
    <w:rsid w:val="6E636A71"/>
    <w:rsid w:val="6E6526A9"/>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1942B8"/>
    <w:rsid w:val="6F2632E8"/>
    <w:rsid w:val="6F30363A"/>
    <w:rsid w:val="6F3316E5"/>
    <w:rsid w:val="6F3F40F9"/>
    <w:rsid w:val="6F44699F"/>
    <w:rsid w:val="6F5E0205"/>
    <w:rsid w:val="6F5F15C8"/>
    <w:rsid w:val="6F5F4FCB"/>
    <w:rsid w:val="6F6F14E1"/>
    <w:rsid w:val="6F86160F"/>
    <w:rsid w:val="6F877309"/>
    <w:rsid w:val="6F884D8A"/>
    <w:rsid w:val="6F89712B"/>
    <w:rsid w:val="6F983C13"/>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0429F"/>
    <w:rsid w:val="7032079E"/>
    <w:rsid w:val="70375C5A"/>
    <w:rsid w:val="703947D7"/>
    <w:rsid w:val="703C186A"/>
    <w:rsid w:val="703E734E"/>
    <w:rsid w:val="70570007"/>
    <w:rsid w:val="7057408E"/>
    <w:rsid w:val="705843B4"/>
    <w:rsid w:val="706417AF"/>
    <w:rsid w:val="70655A58"/>
    <w:rsid w:val="707263E0"/>
    <w:rsid w:val="7080329F"/>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443BF"/>
    <w:rsid w:val="70D71463"/>
    <w:rsid w:val="70E936CD"/>
    <w:rsid w:val="70EE2F9A"/>
    <w:rsid w:val="70FA6D60"/>
    <w:rsid w:val="70FC2D1E"/>
    <w:rsid w:val="71015D6B"/>
    <w:rsid w:val="71115386"/>
    <w:rsid w:val="71151975"/>
    <w:rsid w:val="71220857"/>
    <w:rsid w:val="71222C53"/>
    <w:rsid w:val="71336A65"/>
    <w:rsid w:val="713F2DD7"/>
    <w:rsid w:val="71477682"/>
    <w:rsid w:val="71545B37"/>
    <w:rsid w:val="71570E43"/>
    <w:rsid w:val="71573E01"/>
    <w:rsid w:val="71702748"/>
    <w:rsid w:val="71862E8D"/>
    <w:rsid w:val="71867894"/>
    <w:rsid w:val="718B0CD8"/>
    <w:rsid w:val="71967069"/>
    <w:rsid w:val="719F7A78"/>
    <w:rsid w:val="71A73EB4"/>
    <w:rsid w:val="71B25E63"/>
    <w:rsid w:val="71B30ACA"/>
    <w:rsid w:val="71B623F6"/>
    <w:rsid w:val="71C7540C"/>
    <w:rsid w:val="71E05E2B"/>
    <w:rsid w:val="71E41366"/>
    <w:rsid w:val="71ED2496"/>
    <w:rsid w:val="71F14FC5"/>
    <w:rsid w:val="71F64A63"/>
    <w:rsid w:val="71F870B8"/>
    <w:rsid w:val="7200001E"/>
    <w:rsid w:val="72021233"/>
    <w:rsid w:val="720B2A1D"/>
    <w:rsid w:val="72147937"/>
    <w:rsid w:val="72175F5D"/>
    <w:rsid w:val="72346B55"/>
    <w:rsid w:val="723959DC"/>
    <w:rsid w:val="723E7E80"/>
    <w:rsid w:val="724B5FB3"/>
    <w:rsid w:val="724C3314"/>
    <w:rsid w:val="72502F9F"/>
    <w:rsid w:val="72514753"/>
    <w:rsid w:val="72524B90"/>
    <w:rsid w:val="725817D3"/>
    <w:rsid w:val="725B3685"/>
    <w:rsid w:val="726E6AD4"/>
    <w:rsid w:val="727C422C"/>
    <w:rsid w:val="727C7861"/>
    <w:rsid w:val="728E71EE"/>
    <w:rsid w:val="7292045A"/>
    <w:rsid w:val="72974DBE"/>
    <w:rsid w:val="72A20C20"/>
    <w:rsid w:val="72AC5E95"/>
    <w:rsid w:val="72B104F9"/>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919FE"/>
    <w:rsid w:val="732B736C"/>
    <w:rsid w:val="732C334F"/>
    <w:rsid w:val="73303587"/>
    <w:rsid w:val="734F0C79"/>
    <w:rsid w:val="734F4185"/>
    <w:rsid w:val="73520620"/>
    <w:rsid w:val="735E192B"/>
    <w:rsid w:val="7363274A"/>
    <w:rsid w:val="736462D9"/>
    <w:rsid w:val="73691A4A"/>
    <w:rsid w:val="737025EA"/>
    <w:rsid w:val="7371152B"/>
    <w:rsid w:val="73736DAC"/>
    <w:rsid w:val="73777B4D"/>
    <w:rsid w:val="737D6CF9"/>
    <w:rsid w:val="7383627D"/>
    <w:rsid w:val="73856458"/>
    <w:rsid w:val="73862D4E"/>
    <w:rsid w:val="738A6895"/>
    <w:rsid w:val="73917325"/>
    <w:rsid w:val="7395427D"/>
    <w:rsid w:val="739F1660"/>
    <w:rsid w:val="73B047C3"/>
    <w:rsid w:val="73B62302"/>
    <w:rsid w:val="73BC7089"/>
    <w:rsid w:val="73BE7067"/>
    <w:rsid w:val="73C34124"/>
    <w:rsid w:val="73DC33F5"/>
    <w:rsid w:val="73E406FD"/>
    <w:rsid w:val="73E52294"/>
    <w:rsid w:val="73EC5464"/>
    <w:rsid w:val="73FF2D64"/>
    <w:rsid w:val="740F108B"/>
    <w:rsid w:val="74137154"/>
    <w:rsid w:val="741C7D0C"/>
    <w:rsid w:val="741F2652"/>
    <w:rsid w:val="7421310D"/>
    <w:rsid w:val="74257F79"/>
    <w:rsid w:val="74273820"/>
    <w:rsid w:val="7427471C"/>
    <w:rsid w:val="742C5DA8"/>
    <w:rsid w:val="74330EFD"/>
    <w:rsid w:val="74355B0B"/>
    <w:rsid w:val="743C7157"/>
    <w:rsid w:val="74416F54"/>
    <w:rsid w:val="74427A8E"/>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E6B05"/>
    <w:rsid w:val="74E4756E"/>
    <w:rsid w:val="74E86DF6"/>
    <w:rsid w:val="74EB43B2"/>
    <w:rsid w:val="74ED19FF"/>
    <w:rsid w:val="74F747A8"/>
    <w:rsid w:val="74FD186E"/>
    <w:rsid w:val="75084E8F"/>
    <w:rsid w:val="7509261E"/>
    <w:rsid w:val="750B5416"/>
    <w:rsid w:val="750F16AB"/>
    <w:rsid w:val="75175E75"/>
    <w:rsid w:val="75202656"/>
    <w:rsid w:val="752231CE"/>
    <w:rsid w:val="7537255A"/>
    <w:rsid w:val="75396D51"/>
    <w:rsid w:val="75434B0A"/>
    <w:rsid w:val="75581C92"/>
    <w:rsid w:val="7570094B"/>
    <w:rsid w:val="757108D4"/>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123E1D"/>
    <w:rsid w:val="761270F3"/>
    <w:rsid w:val="762A17C0"/>
    <w:rsid w:val="762A38C1"/>
    <w:rsid w:val="762E4274"/>
    <w:rsid w:val="762E6798"/>
    <w:rsid w:val="76387379"/>
    <w:rsid w:val="76425118"/>
    <w:rsid w:val="76473B19"/>
    <w:rsid w:val="7647727C"/>
    <w:rsid w:val="764838B9"/>
    <w:rsid w:val="764B15DA"/>
    <w:rsid w:val="764C09B4"/>
    <w:rsid w:val="764F5A52"/>
    <w:rsid w:val="7651184F"/>
    <w:rsid w:val="765E2788"/>
    <w:rsid w:val="76647980"/>
    <w:rsid w:val="766827E1"/>
    <w:rsid w:val="766A4A0D"/>
    <w:rsid w:val="76725A45"/>
    <w:rsid w:val="767D1978"/>
    <w:rsid w:val="768C454B"/>
    <w:rsid w:val="76910A96"/>
    <w:rsid w:val="7692667A"/>
    <w:rsid w:val="769576DC"/>
    <w:rsid w:val="76974AD1"/>
    <w:rsid w:val="76982273"/>
    <w:rsid w:val="769A7352"/>
    <w:rsid w:val="76A177B8"/>
    <w:rsid w:val="76A423A7"/>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13B80"/>
    <w:rsid w:val="770A1659"/>
    <w:rsid w:val="771A5AE3"/>
    <w:rsid w:val="771B67DF"/>
    <w:rsid w:val="77241319"/>
    <w:rsid w:val="77272CAB"/>
    <w:rsid w:val="772C0FCF"/>
    <w:rsid w:val="77335384"/>
    <w:rsid w:val="77451578"/>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BF3706"/>
    <w:rsid w:val="77C078B1"/>
    <w:rsid w:val="77D44398"/>
    <w:rsid w:val="77DE5E93"/>
    <w:rsid w:val="77E66E3C"/>
    <w:rsid w:val="77F3789A"/>
    <w:rsid w:val="780326B9"/>
    <w:rsid w:val="780332E5"/>
    <w:rsid w:val="78077B5A"/>
    <w:rsid w:val="782127F0"/>
    <w:rsid w:val="78271E5B"/>
    <w:rsid w:val="783201C2"/>
    <w:rsid w:val="7833711D"/>
    <w:rsid w:val="783F3C54"/>
    <w:rsid w:val="78460D63"/>
    <w:rsid w:val="78497C2E"/>
    <w:rsid w:val="78502D35"/>
    <w:rsid w:val="785051F3"/>
    <w:rsid w:val="7854087B"/>
    <w:rsid w:val="786A4053"/>
    <w:rsid w:val="78782A0D"/>
    <w:rsid w:val="78785A2F"/>
    <w:rsid w:val="787B5060"/>
    <w:rsid w:val="787E0EB9"/>
    <w:rsid w:val="788720E7"/>
    <w:rsid w:val="789443C2"/>
    <w:rsid w:val="789B58CF"/>
    <w:rsid w:val="78A90B04"/>
    <w:rsid w:val="78C26D70"/>
    <w:rsid w:val="78C53485"/>
    <w:rsid w:val="78C6693F"/>
    <w:rsid w:val="78C76A01"/>
    <w:rsid w:val="78D06373"/>
    <w:rsid w:val="78D508BC"/>
    <w:rsid w:val="78D6764B"/>
    <w:rsid w:val="78DF3BEC"/>
    <w:rsid w:val="78EC45D8"/>
    <w:rsid w:val="78EC6DF0"/>
    <w:rsid w:val="78F5335B"/>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A77AD"/>
    <w:rsid w:val="79FB6E2C"/>
    <w:rsid w:val="7A0E2780"/>
    <w:rsid w:val="7A287E49"/>
    <w:rsid w:val="7A29263F"/>
    <w:rsid w:val="7A36322F"/>
    <w:rsid w:val="7A4B21AB"/>
    <w:rsid w:val="7A4C2D60"/>
    <w:rsid w:val="7A4E5365"/>
    <w:rsid w:val="7A5C5095"/>
    <w:rsid w:val="7A5E0869"/>
    <w:rsid w:val="7A610237"/>
    <w:rsid w:val="7A620F06"/>
    <w:rsid w:val="7A6E4BF5"/>
    <w:rsid w:val="7A78261A"/>
    <w:rsid w:val="7A851D5D"/>
    <w:rsid w:val="7A8A2267"/>
    <w:rsid w:val="7A8B1863"/>
    <w:rsid w:val="7A8D479E"/>
    <w:rsid w:val="7AA5314C"/>
    <w:rsid w:val="7AAF50F0"/>
    <w:rsid w:val="7AB53126"/>
    <w:rsid w:val="7AB76FE8"/>
    <w:rsid w:val="7AC06271"/>
    <w:rsid w:val="7AC73DFD"/>
    <w:rsid w:val="7AD268E2"/>
    <w:rsid w:val="7ADA6930"/>
    <w:rsid w:val="7ADC0B33"/>
    <w:rsid w:val="7ADF72B5"/>
    <w:rsid w:val="7AE14C19"/>
    <w:rsid w:val="7AEA174E"/>
    <w:rsid w:val="7AF1626C"/>
    <w:rsid w:val="7B274176"/>
    <w:rsid w:val="7B276F1B"/>
    <w:rsid w:val="7B306163"/>
    <w:rsid w:val="7B31652B"/>
    <w:rsid w:val="7B3E17AA"/>
    <w:rsid w:val="7B401C79"/>
    <w:rsid w:val="7B440ED6"/>
    <w:rsid w:val="7B4678D7"/>
    <w:rsid w:val="7B4B2A93"/>
    <w:rsid w:val="7B527515"/>
    <w:rsid w:val="7B581154"/>
    <w:rsid w:val="7B5A589C"/>
    <w:rsid w:val="7B711792"/>
    <w:rsid w:val="7B890A24"/>
    <w:rsid w:val="7B8940DC"/>
    <w:rsid w:val="7B8A4A8A"/>
    <w:rsid w:val="7B99266D"/>
    <w:rsid w:val="7B9B5CB4"/>
    <w:rsid w:val="7BA54136"/>
    <w:rsid w:val="7BAA485C"/>
    <w:rsid w:val="7BAD1591"/>
    <w:rsid w:val="7BBD5097"/>
    <w:rsid w:val="7BC04B6A"/>
    <w:rsid w:val="7BCD64C2"/>
    <w:rsid w:val="7BD100FC"/>
    <w:rsid w:val="7BD3716B"/>
    <w:rsid w:val="7BE8512E"/>
    <w:rsid w:val="7BEC2711"/>
    <w:rsid w:val="7BF55850"/>
    <w:rsid w:val="7C1054B7"/>
    <w:rsid w:val="7C26369C"/>
    <w:rsid w:val="7C2A465C"/>
    <w:rsid w:val="7C305879"/>
    <w:rsid w:val="7C34521A"/>
    <w:rsid w:val="7C4A2BD1"/>
    <w:rsid w:val="7C516EE4"/>
    <w:rsid w:val="7C576C70"/>
    <w:rsid w:val="7C6E4349"/>
    <w:rsid w:val="7C77043F"/>
    <w:rsid w:val="7C815ED2"/>
    <w:rsid w:val="7C8A7CDC"/>
    <w:rsid w:val="7C9E5A24"/>
    <w:rsid w:val="7C9F7EC8"/>
    <w:rsid w:val="7CAC7BA2"/>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7313D"/>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93224"/>
    <w:rsid w:val="7DBE6FBE"/>
    <w:rsid w:val="7DC21BE7"/>
    <w:rsid w:val="7DC51C1A"/>
    <w:rsid w:val="7DCD1A27"/>
    <w:rsid w:val="7DCD4739"/>
    <w:rsid w:val="7DCD4EB5"/>
    <w:rsid w:val="7DEC4723"/>
    <w:rsid w:val="7DFD4B87"/>
    <w:rsid w:val="7E090313"/>
    <w:rsid w:val="7E105142"/>
    <w:rsid w:val="7E3E0FEC"/>
    <w:rsid w:val="7E3E1EF2"/>
    <w:rsid w:val="7E566EA2"/>
    <w:rsid w:val="7E5C1ABA"/>
    <w:rsid w:val="7E61281D"/>
    <w:rsid w:val="7E622778"/>
    <w:rsid w:val="7E6D4A6E"/>
    <w:rsid w:val="7E756346"/>
    <w:rsid w:val="7E85174A"/>
    <w:rsid w:val="7E8B68B9"/>
    <w:rsid w:val="7EAA7C26"/>
    <w:rsid w:val="7EAB69D0"/>
    <w:rsid w:val="7EAF1FAA"/>
    <w:rsid w:val="7EB4653A"/>
    <w:rsid w:val="7EBC7B69"/>
    <w:rsid w:val="7ECA4601"/>
    <w:rsid w:val="7ED07608"/>
    <w:rsid w:val="7EDC22AD"/>
    <w:rsid w:val="7EDE4C34"/>
    <w:rsid w:val="7EE34086"/>
    <w:rsid w:val="7EE5313E"/>
    <w:rsid w:val="7EE55F89"/>
    <w:rsid w:val="7EE84319"/>
    <w:rsid w:val="7EEB5719"/>
    <w:rsid w:val="7EF215E8"/>
    <w:rsid w:val="7EF525E1"/>
    <w:rsid w:val="7EF74FC9"/>
    <w:rsid w:val="7EFB0D19"/>
    <w:rsid w:val="7EFF7828"/>
    <w:rsid w:val="7F000B6A"/>
    <w:rsid w:val="7F022EBD"/>
    <w:rsid w:val="7F09144E"/>
    <w:rsid w:val="7F0B5962"/>
    <w:rsid w:val="7F0C2035"/>
    <w:rsid w:val="7F0F7992"/>
    <w:rsid w:val="7F1B0865"/>
    <w:rsid w:val="7F271AA3"/>
    <w:rsid w:val="7F542B37"/>
    <w:rsid w:val="7F6B2248"/>
    <w:rsid w:val="7F7D7A8E"/>
    <w:rsid w:val="7F815141"/>
    <w:rsid w:val="7F872588"/>
    <w:rsid w:val="7F8725BA"/>
    <w:rsid w:val="7F8C6A8F"/>
    <w:rsid w:val="7F9C175D"/>
    <w:rsid w:val="7FA85877"/>
    <w:rsid w:val="7FAB3A81"/>
    <w:rsid w:val="7FBA1144"/>
    <w:rsid w:val="7FBE43E0"/>
    <w:rsid w:val="7FC32B2C"/>
    <w:rsid w:val="7FCB6843"/>
    <w:rsid w:val="7FD616A1"/>
    <w:rsid w:val="7FD8385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2024-08-09T06:33:48Z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